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等线" w:hAnsi="等线" w:eastAsia="等线" w:cs="等线"/>
          <w:b/>
          <w:bCs/>
          <w:sz w:val="32"/>
          <w:szCs w:val="32"/>
        </w:rPr>
      </w:pPr>
      <w:r>
        <w:rPr>
          <w:rFonts w:hint="eastAsia" w:ascii="等线" w:hAnsi="等线" w:eastAsia="等线" w:cs="等线"/>
          <w:b/>
          <w:bCs/>
          <w:sz w:val="32"/>
          <w:szCs w:val="32"/>
        </w:rPr>
        <w:t>安徽省地方标准编制说明</w:t>
      </w:r>
    </w:p>
    <w:tbl>
      <w:tblPr>
        <w:tblStyle w:val="6"/>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322"/>
        <w:gridCol w:w="3242"/>
        <w:gridCol w:w="1350"/>
        <w:gridCol w:w="1515"/>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28"/>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标准名称</w:t>
            </w:r>
          </w:p>
        </w:tc>
        <w:tc>
          <w:tcPr>
            <w:tcW w:w="7554" w:type="dxa"/>
            <w:gridSpan w:val="4"/>
            <w:vAlign w:val="center"/>
          </w:tcPr>
          <w:p>
            <w:pPr>
              <w:pStyle w:val="28"/>
              <w:adjustRightInd w:val="0"/>
              <w:spacing w:line="360" w:lineRule="auto"/>
              <w:ind w:firstLine="0" w:firstLineChars="0"/>
              <w:contextualSpacing/>
              <w:jc w:val="center"/>
              <w:rPr>
                <w:rFonts w:hint="default" w:ascii="Times New Roman" w:hAnsi="Times New Roman" w:eastAsia="宋体" w:cs="Times New Roman"/>
                <w:szCs w:val="21"/>
                <w:lang w:val="en-US" w:eastAsia="zh-CN"/>
              </w:rPr>
            </w:pPr>
            <w:r>
              <w:rPr>
                <w:rFonts w:hint="default" w:ascii="Times New Roman" w:hAnsi="Times New Roman" w:cs="Times New Roman"/>
                <w:b/>
                <w:bCs/>
                <w:szCs w:val="21"/>
                <w:lang w:val="en-US" w:eastAsia="zh-CN"/>
              </w:rPr>
              <w:t>《船闸闸室装配式智能移动模机应用技术规程》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28"/>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任务来源</w:t>
            </w:r>
          </w:p>
          <w:p>
            <w:pPr>
              <w:pStyle w:val="28"/>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（项目计划号）</w:t>
            </w:r>
          </w:p>
        </w:tc>
        <w:tc>
          <w:tcPr>
            <w:tcW w:w="7554" w:type="dxa"/>
            <w:gridSpan w:val="4"/>
            <w:vAlign w:val="center"/>
          </w:tcPr>
          <w:p>
            <w:pPr>
              <w:pStyle w:val="28"/>
              <w:adjustRightInd w:val="0"/>
              <w:spacing w:line="360" w:lineRule="auto"/>
              <w:ind w:firstLine="0" w:firstLineChars="0"/>
              <w:contextualSpacing/>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kern w:val="0"/>
                <w:szCs w:val="21"/>
              </w:rPr>
              <w:t>《安徽省市场监督管理局关于下达 2023年第三批安徽省地方标准制修订计划的通知》（皖市监函〔2023〕622号），</w:t>
            </w:r>
            <w:r>
              <w:rPr>
                <w:rFonts w:hint="default" w:ascii="Times New Roman" w:hAnsi="Times New Roman" w:cs="Times New Roman"/>
                <w:kern w:val="0"/>
                <w:szCs w:val="21"/>
                <w:lang w:val="en-US" w:eastAsia="zh-CN"/>
              </w:rPr>
              <w:t>项目计划号</w:t>
            </w:r>
            <w:r>
              <w:rPr>
                <w:rFonts w:hint="default" w:ascii="Times New Roman" w:hAnsi="Times New Roman" w:cs="Times New Roman"/>
                <w:szCs w:val="21"/>
              </w:rPr>
              <w:t>20</w:t>
            </w:r>
            <w:r>
              <w:rPr>
                <w:rFonts w:hint="default" w:ascii="Times New Roman" w:hAnsi="Times New Roman" w:cs="Times New Roman"/>
                <w:szCs w:val="21"/>
                <w:lang w:val="en-US" w:eastAsia="zh-CN"/>
              </w:rPr>
              <w:t>23</w:t>
            </w:r>
            <w:r>
              <w:rPr>
                <w:rFonts w:hint="default" w:ascii="Times New Roman" w:hAnsi="Times New Roman" w:cs="Times New Roman"/>
                <w:szCs w:val="21"/>
              </w:rPr>
              <w:t>-</w:t>
            </w:r>
            <w:r>
              <w:rPr>
                <w:rFonts w:hint="default" w:ascii="Times New Roman" w:hAnsi="Times New Roman" w:cs="Times New Roman"/>
                <w:szCs w:val="21"/>
                <w:lang w:val="en-US" w:eastAsia="zh-CN"/>
              </w:rPr>
              <w:t>3</w:t>
            </w:r>
            <w:r>
              <w:rPr>
                <w:rFonts w:hint="default" w:ascii="Times New Roman" w:hAnsi="Times New Roman" w:cs="Times New Roman"/>
                <w:szCs w:val="21"/>
              </w:rPr>
              <w:t>-</w:t>
            </w:r>
            <w:r>
              <w:rPr>
                <w:rFonts w:hint="default" w:ascii="Times New Roman" w:hAnsi="Times New Roman" w:cs="Times New Roman"/>
                <w:szCs w:val="21"/>
                <w:lang w:val="en-US" w:eastAsia="zh-CN"/>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28"/>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第一起草单位</w:t>
            </w:r>
          </w:p>
          <w:p>
            <w:pPr>
              <w:pStyle w:val="28"/>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（盖章）</w:t>
            </w:r>
          </w:p>
        </w:tc>
        <w:tc>
          <w:tcPr>
            <w:tcW w:w="7554" w:type="dxa"/>
            <w:gridSpan w:val="4"/>
            <w:vAlign w:val="center"/>
          </w:tcPr>
          <w:p>
            <w:pPr>
              <w:pStyle w:val="28"/>
              <w:adjustRightInd w:val="0"/>
              <w:spacing w:line="360" w:lineRule="auto"/>
              <w:ind w:firstLine="0" w:firstLineChars="0"/>
              <w:contextualSpacing/>
              <w:jc w:val="center"/>
              <w:rPr>
                <w:rFonts w:hint="default" w:ascii="Times New Roman" w:hAnsi="Times New Roman" w:eastAsia="宋体" w:cs="Times New Roman"/>
                <w:szCs w:val="21"/>
                <w:lang w:eastAsia="zh-CN"/>
              </w:rPr>
            </w:pPr>
            <w:r>
              <w:rPr>
                <w:rFonts w:hint="default" w:ascii="Times New Roman" w:hAnsi="Times New Roman" w:cs="Times New Roman"/>
                <w:szCs w:val="21"/>
                <w:lang w:eastAsia="zh-CN"/>
              </w:rPr>
              <w:t>安徽建工路港建设集团有限公司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28"/>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单位地址</w:t>
            </w:r>
          </w:p>
        </w:tc>
        <w:tc>
          <w:tcPr>
            <w:tcW w:w="7554" w:type="dxa"/>
            <w:gridSpan w:val="4"/>
            <w:vAlign w:val="center"/>
          </w:tcPr>
          <w:p>
            <w:pPr>
              <w:pStyle w:val="28"/>
              <w:adjustRightInd w:val="0"/>
              <w:spacing w:line="360" w:lineRule="auto"/>
              <w:ind w:firstLine="0" w:firstLineChars="0"/>
              <w:contextualSpacing/>
              <w:jc w:val="center"/>
              <w:rPr>
                <w:rFonts w:hint="default" w:ascii="Times New Roman" w:hAnsi="Times New Roman" w:eastAsia="宋体" w:cs="Times New Roman"/>
                <w:szCs w:val="21"/>
                <w:lang w:eastAsia="zh-CN"/>
              </w:rPr>
            </w:pPr>
            <w:r>
              <w:rPr>
                <w:rFonts w:hint="default" w:ascii="Times New Roman" w:hAnsi="Times New Roman" w:cs="Times New Roman"/>
                <w:szCs w:val="21"/>
                <w:lang w:eastAsia="zh-CN"/>
              </w:rPr>
              <w:t>安徽省合肥市高新区海棠路369号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28"/>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参与起草单位</w:t>
            </w:r>
          </w:p>
        </w:tc>
        <w:tc>
          <w:tcPr>
            <w:tcW w:w="7554" w:type="dxa"/>
            <w:gridSpan w:val="4"/>
            <w:vAlign w:val="center"/>
          </w:tcPr>
          <w:p>
            <w:pPr>
              <w:rPr>
                <w:rFonts w:hint="default" w:ascii="Times New Roman" w:hAnsi="Times New Roman" w:cs="Times New Roman"/>
                <w:szCs w:val="21"/>
              </w:rPr>
            </w:pPr>
            <w:r>
              <w:rPr>
                <w:rFonts w:hint="default" w:ascii="Times New Roman" w:hAnsi="Times New Roman" w:cs="Times New Roman"/>
              </w:rPr>
              <w:t>安徽建工集团股份有限公司、安徽建工交通航务集团有限公司、安徽建工（芜湖）建设投资有限公司、合肥工业大学、安徽省</w:t>
            </w:r>
            <w:r>
              <w:rPr>
                <w:rFonts w:hint="default" w:ascii="Times New Roman" w:hAnsi="Times New Roman" w:cs="Times New Roman"/>
                <w:lang w:eastAsia="zh-CN"/>
              </w:rPr>
              <w:t>交通勘察设计院</w:t>
            </w:r>
            <w:r>
              <w:rPr>
                <w:rFonts w:hint="default" w:ascii="Times New Roman" w:hAnsi="Times New Roman" w:cs="Times New Roman"/>
              </w:rPr>
              <w:t>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adjustRightInd w:val="0"/>
              <w:spacing w:line="360" w:lineRule="auto"/>
              <w:ind w:firstLine="0" w:firstLineChars="0"/>
              <w:contextualSpacing/>
              <w:jc w:val="center"/>
              <w:rPr>
                <w:rFonts w:hint="default" w:ascii="Times New Roman" w:hAnsi="Times New Roman" w:eastAsia="宋体" w:cs="Times New Roman"/>
                <w:szCs w:val="21"/>
                <w:lang w:eastAsia="zh-CN"/>
              </w:rPr>
            </w:pPr>
            <w:r>
              <w:rPr>
                <w:rFonts w:hint="default" w:ascii="Times New Roman" w:hAnsi="Times New Roman" w:cs="Times New Roman"/>
                <w:szCs w:val="21"/>
              </w:rPr>
              <w:t>标准起草人</w:t>
            </w:r>
            <w:r>
              <w:rPr>
                <w:rFonts w:hint="default" w:ascii="Times New Roman" w:hAnsi="Times New Roman" w:cs="Times New Roman"/>
                <w:szCs w:val="21"/>
                <w:lang w:eastAsia="zh-CN"/>
              </w:rPr>
              <w:t>（次序未定）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28"/>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序号</w:t>
            </w:r>
          </w:p>
        </w:tc>
        <w:tc>
          <w:tcPr>
            <w:tcW w:w="1322" w:type="dxa"/>
            <w:vAlign w:val="center"/>
          </w:tcPr>
          <w:p>
            <w:pPr>
              <w:pStyle w:val="28"/>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姓名</w:t>
            </w:r>
          </w:p>
        </w:tc>
        <w:tc>
          <w:tcPr>
            <w:tcW w:w="3242" w:type="dxa"/>
            <w:vAlign w:val="center"/>
          </w:tcPr>
          <w:p>
            <w:pPr>
              <w:pStyle w:val="28"/>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单位</w:t>
            </w:r>
          </w:p>
        </w:tc>
        <w:tc>
          <w:tcPr>
            <w:tcW w:w="1350" w:type="dxa"/>
            <w:vAlign w:val="center"/>
          </w:tcPr>
          <w:p>
            <w:pPr>
              <w:pStyle w:val="28"/>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职务</w:t>
            </w:r>
          </w:p>
        </w:tc>
        <w:tc>
          <w:tcPr>
            <w:tcW w:w="1515" w:type="dxa"/>
            <w:vAlign w:val="center"/>
          </w:tcPr>
          <w:p>
            <w:pPr>
              <w:pStyle w:val="28"/>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职称</w:t>
            </w:r>
          </w:p>
        </w:tc>
        <w:tc>
          <w:tcPr>
            <w:tcW w:w="1447" w:type="dxa"/>
            <w:vAlign w:val="center"/>
          </w:tcPr>
          <w:p>
            <w:pPr>
              <w:pStyle w:val="28"/>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28"/>
              <w:adjustRightInd w:val="0"/>
              <w:spacing w:line="360" w:lineRule="auto"/>
              <w:ind w:firstLine="0" w:firstLineChars="0"/>
              <w:contextualSpacing/>
              <w:jc w:val="center"/>
              <w:rPr>
                <w:rFonts w:hint="default" w:ascii="Times New Roman" w:hAnsi="Times New Roman" w:eastAsia="宋体" w:cs="Times New Roman"/>
                <w:szCs w:val="21"/>
                <w:lang w:val="en-US" w:eastAsia="zh-CN"/>
              </w:rPr>
            </w:pPr>
          </w:p>
        </w:tc>
        <w:tc>
          <w:tcPr>
            <w:tcW w:w="1322" w:type="dxa"/>
            <w:vAlign w:val="center"/>
          </w:tcPr>
          <w:p>
            <w:pPr>
              <w:pStyle w:val="28"/>
              <w:adjustRightInd w:val="0"/>
              <w:spacing w:line="360" w:lineRule="auto"/>
              <w:ind w:firstLine="0" w:firstLineChars="0"/>
              <w:contextualSpacing/>
              <w:jc w:val="center"/>
              <w:rPr>
                <w:rFonts w:hint="default" w:ascii="Times New Roman" w:hAnsi="Times New Roman" w:eastAsia="宋体" w:cs="Times New Roman"/>
                <w:szCs w:val="21"/>
                <w:lang w:eastAsia="zh-CN"/>
              </w:rPr>
            </w:pPr>
          </w:p>
        </w:tc>
        <w:tc>
          <w:tcPr>
            <w:tcW w:w="3242" w:type="dxa"/>
            <w:vAlign w:val="center"/>
          </w:tcPr>
          <w:p>
            <w:pPr>
              <w:pStyle w:val="28"/>
              <w:adjustRightInd w:val="0"/>
              <w:spacing w:line="360" w:lineRule="auto"/>
              <w:ind w:firstLine="0" w:firstLineChars="0"/>
              <w:contextualSpacing/>
              <w:rPr>
                <w:rFonts w:hint="default" w:ascii="Times New Roman" w:hAnsi="Times New Roman" w:cs="Times New Roman"/>
                <w:szCs w:val="21"/>
              </w:rPr>
            </w:pPr>
          </w:p>
        </w:tc>
        <w:tc>
          <w:tcPr>
            <w:tcW w:w="1350" w:type="dxa"/>
            <w:vAlign w:val="center"/>
          </w:tcPr>
          <w:p>
            <w:pPr>
              <w:pStyle w:val="28"/>
              <w:adjustRightInd w:val="0"/>
              <w:spacing w:line="360" w:lineRule="auto"/>
              <w:ind w:firstLine="0" w:firstLineChars="0"/>
              <w:contextualSpacing/>
              <w:rPr>
                <w:rFonts w:hint="default" w:ascii="Times New Roman" w:hAnsi="Times New Roman" w:eastAsia="宋体" w:cs="Times New Roman"/>
                <w:szCs w:val="21"/>
                <w:lang w:eastAsia="zh-CN"/>
              </w:rPr>
            </w:pPr>
          </w:p>
        </w:tc>
        <w:tc>
          <w:tcPr>
            <w:tcW w:w="1515" w:type="dxa"/>
            <w:vAlign w:val="center"/>
          </w:tcPr>
          <w:p>
            <w:pPr>
              <w:pStyle w:val="28"/>
              <w:adjustRightInd w:val="0"/>
              <w:spacing w:line="360" w:lineRule="auto"/>
              <w:ind w:firstLine="0" w:firstLineChars="0"/>
              <w:contextualSpacing/>
              <w:rPr>
                <w:rFonts w:hint="default" w:ascii="Times New Roman" w:hAnsi="Times New Roman" w:eastAsia="宋体" w:cs="Times New Roman"/>
                <w:szCs w:val="21"/>
                <w:lang w:eastAsia="zh-CN"/>
              </w:rPr>
            </w:pPr>
          </w:p>
        </w:tc>
        <w:tc>
          <w:tcPr>
            <w:tcW w:w="1447" w:type="dxa"/>
            <w:vAlign w:val="center"/>
          </w:tcPr>
          <w:p>
            <w:pPr>
              <w:pStyle w:val="28"/>
              <w:adjustRightInd w:val="0"/>
              <w:spacing w:line="360" w:lineRule="auto"/>
              <w:ind w:firstLine="0" w:firstLineChars="0"/>
              <w:contextualSpacing/>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28"/>
              <w:adjustRightInd w:val="0"/>
              <w:spacing w:line="360" w:lineRule="auto"/>
              <w:ind w:firstLine="0" w:firstLineChars="0"/>
              <w:contextualSpacing/>
              <w:jc w:val="center"/>
              <w:rPr>
                <w:rFonts w:hint="default" w:ascii="Times New Roman" w:hAnsi="Times New Roman" w:eastAsia="宋体" w:cs="Times New Roman"/>
                <w:szCs w:val="21"/>
                <w:lang w:val="en-US" w:eastAsia="zh-CN"/>
              </w:rPr>
            </w:pPr>
          </w:p>
        </w:tc>
        <w:tc>
          <w:tcPr>
            <w:tcW w:w="1322" w:type="dxa"/>
            <w:vAlign w:val="center"/>
          </w:tcPr>
          <w:p>
            <w:pPr>
              <w:pStyle w:val="28"/>
              <w:adjustRightInd w:val="0"/>
              <w:spacing w:line="360" w:lineRule="auto"/>
              <w:ind w:firstLine="0" w:firstLineChars="0"/>
              <w:contextualSpacing/>
              <w:jc w:val="center"/>
              <w:rPr>
                <w:rFonts w:hint="default" w:ascii="Times New Roman" w:hAnsi="Times New Roman" w:eastAsia="宋体" w:cs="Times New Roman"/>
                <w:szCs w:val="21"/>
                <w:lang w:eastAsia="zh-CN"/>
              </w:rPr>
            </w:pPr>
          </w:p>
        </w:tc>
        <w:tc>
          <w:tcPr>
            <w:tcW w:w="3242" w:type="dxa"/>
            <w:vAlign w:val="center"/>
          </w:tcPr>
          <w:p>
            <w:pPr>
              <w:pStyle w:val="28"/>
              <w:adjustRightInd w:val="0"/>
              <w:spacing w:line="360" w:lineRule="auto"/>
              <w:ind w:firstLine="0" w:firstLineChars="0"/>
              <w:contextualSpacing/>
              <w:rPr>
                <w:rFonts w:hint="default" w:ascii="Times New Roman" w:hAnsi="Times New Roman" w:cs="Times New Roman"/>
                <w:szCs w:val="21"/>
              </w:rPr>
            </w:pPr>
          </w:p>
        </w:tc>
        <w:tc>
          <w:tcPr>
            <w:tcW w:w="1350" w:type="dxa"/>
            <w:vAlign w:val="center"/>
          </w:tcPr>
          <w:p>
            <w:pPr>
              <w:pStyle w:val="28"/>
              <w:adjustRightInd w:val="0"/>
              <w:spacing w:line="360" w:lineRule="auto"/>
              <w:ind w:firstLine="0" w:firstLineChars="0"/>
              <w:contextualSpacing/>
              <w:rPr>
                <w:rFonts w:hint="default" w:ascii="Times New Roman" w:hAnsi="Times New Roman" w:eastAsia="宋体" w:cs="Times New Roman"/>
                <w:szCs w:val="21"/>
                <w:lang w:eastAsia="zh-CN"/>
              </w:rPr>
            </w:pPr>
          </w:p>
        </w:tc>
        <w:tc>
          <w:tcPr>
            <w:tcW w:w="1515" w:type="dxa"/>
            <w:vAlign w:val="center"/>
          </w:tcPr>
          <w:p>
            <w:pPr>
              <w:pStyle w:val="28"/>
              <w:adjustRightInd w:val="0"/>
              <w:spacing w:line="360" w:lineRule="auto"/>
              <w:ind w:firstLine="0" w:firstLineChars="0"/>
              <w:contextualSpacing/>
              <w:rPr>
                <w:rFonts w:hint="default" w:ascii="Times New Roman" w:hAnsi="Times New Roman" w:cs="Times New Roman"/>
                <w:szCs w:val="21"/>
              </w:rPr>
            </w:pPr>
          </w:p>
        </w:tc>
        <w:tc>
          <w:tcPr>
            <w:tcW w:w="1447" w:type="dxa"/>
            <w:vAlign w:val="center"/>
          </w:tcPr>
          <w:p>
            <w:pPr>
              <w:pStyle w:val="28"/>
              <w:adjustRightInd w:val="0"/>
              <w:spacing w:line="360" w:lineRule="auto"/>
              <w:ind w:firstLine="0" w:firstLineChars="0"/>
              <w:contextualSpacing/>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28"/>
              <w:adjustRightInd w:val="0"/>
              <w:spacing w:line="360" w:lineRule="auto"/>
              <w:ind w:firstLine="0" w:firstLineChars="0"/>
              <w:contextualSpacing/>
              <w:jc w:val="center"/>
              <w:rPr>
                <w:rFonts w:hint="default" w:ascii="Times New Roman" w:hAnsi="Times New Roman" w:eastAsia="宋体" w:cs="Times New Roman"/>
                <w:szCs w:val="21"/>
                <w:lang w:val="en-US" w:eastAsia="zh-CN"/>
              </w:rPr>
            </w:pPr>
          </w:p>
        </w:tc>
        <w:tc>
          <w:tcPr>
            <w:tcW w:w="1322" w:type="dxa"/>
            <w:vAlign w:val="center"/>
          </w:tcPr>
          <w:p>
            <w:pPr>
              <w:pStyle w:val="28"/>
              <w:adjustRightInd w:val="0"/>
              <w:spacing w:line="360" w:lineRule="auto"/>
              <w:ind w:firstLine="0" w:firstLineChars="0"/>
              <w:contextualSpacing/>
              <w:jc w:val="center"/>
              <w:rPr>
                <w:rFonts w:hint="default" w:ascii="Times New Roman" w:hAnsi="Times New Roman" w:eastAsia="宋体" w:cs="Times New Roman"/>
                <w:szCs w:val="21"/>
                <w:lang w:eastAsia="zh-CN"/>
              </w:rPr>
            </w:pPr>
          </w:p>
        </w:tc>
        <w:tc>
          <w:tcPr>
            <w:tcW w:w="3242" w:type="dxa"/>
            <w:vAlign w:val="center"/>
          </w:tcPr>
          <w:p>
            <w:pPr>
              <w:pStyle w:val="28"/>
              <w:adjustRightInd w:val="0"/>
              <w:spacing w:line="360" w:lineRule="auto"/>
              <w:ind w:firstLine="0" w:firstLineChars="0"/>
              <w:contextualSpacing/>
              <w:rPr>
                <w:rFonts w:hint="default" w:ascii="Times New Roman" w:hAnsi="Times New Roman" w:cs="Times New Roman"/>
                <w:szCs w:val="21"/>
              </w:rPr>
            </w:pPr>
          </w:p>
        </w:tc>
        <w:tc>
          <w:tcPr>
            <w:tcW w:w="1350" w:type="dxa"/>
            <w:vAlign w:val="center"/>
          </w:tcPr>
          <w:p>
            <w:pPr>
              <w:pStyle w:val="28"/>
              <w:adjustRightInd w:val="0"/>
              <w:spacing w:line="360" w:lineRule="auto"/>
              <w:ind w:firstLine="0" w:firstLineChars="0"/>
              <w:contextualSpacing/>
              <w:rPr>
                <w:rFonts w:hint="default" w:ascii="Times New Roman" w:hAnsi="Times New Roman" w:eastAsia="宋体" w:cs="Times New Roman"/>
                <w:szCs w:val="21"/>
                <w:lang w:eastAsia="zh-CN"/>
              </w:rPr>
            </w:pPr>
          </w:p>
        </w:tc>
        <w:tc>
          <w:tcPr>
            <w:tcW w:w="1515" w:type="dxa"/>
            <w:vAlign w:val="center"/>
          </w:tcPr>
          <w:p>
            <w:pPr>
              <w:pStyle w:val="28"/>
              <w:adjustRightInd w:val="0"/>
              <w:spacing w:line="360" w:lineRule="auto"/>
              <w:ind w:firstLine="0" w:firstLineChars="0"/>
              <w:contextualSpacing/>
              <w:rPr>
                <w:rFonts w:hint="default" w:ascii="Times New Roman" w:hAnsi="Times New Roman" w:cs="Times New Roman"/>
                <w:szCs w:val="21"/>
              </w:rPr>
            </w:pPr>
          </w:p>
        </w:tc>
        <w:tc>
          <w:tcPr>
            <w:tcW w:w="1447" w:type="dxa"/>
            <w:vAlign w:val="center"/>
          </w:tcPr>
          <w:p>
            <w:pPr>
              <w:pStyle w:val="28"/>
              <w:adjustRightInd w:val="0"/>
              <w:spacing w:line="360" w:lineRule="auto"/>
              <w:ind w:firstLine="0" w:firstLineChars="0"/>
              <w:contextualSpacing/>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shd w:val="clear" w:color="auto" w:fill="auto"/>
            <w:vAlign w:val="center"/>
          </w:tcPr>
          <w:p>
            <w:pPr>
              <w:pStyle w:val="28"/>
              <w:adjustRightInd w:val="0"/>
              <w:spacing w:line="360" w:lineRule="auto"/>
              <w:ind w:firstLine="0" w:firstLineChars="0"/>
              <w:contextualSpacing/>
              <w:jc w:val="center"/>
              <w:rPr>
                <w:rFonts w:hint="default" w:ascii="Times New Roman" w:hAnsi="Times New Roman" w:eastAsia="宋体" w:cs="Times New Roman"/>
                <w:kern w:val="0"/>
                <w:sz w:val="21"/>
                <w:szCs w:val="21"/>
                <w:lang w:val="en-US" w:eastAsia="zh-CN" w:bidi="ar-SA"/>
              </w:rPr>
            </w:pPr>
          </w:p>
        </w:tc>
        <w:tc>
          <w:tcPr>
            <w:tcW w:w="1322" w:type="dxa"/>
            <w:vAlign w:val="center"/>
          </w:tcPr>
          <w:p>
            <w:pPr>
              <w:pStyle w:val="28"/>
              <w:adjustRightInd w:val="0"/>
              <w:spacing w:line="360" w:lineRule="auto"/>
              <w:ind w:firstLine="0" w:firstLineChars="0"/>
              <w:contextualSpacing/>
              <w:jc w:val="center"/>
              <w:rPr>
                <w:rFonts w:hint="default" w:ascii="Times New Roman" w:hAnsi="Times New Roman" w:cs="Times New Roman"/>
                <w:szCs w:val="21"/>
                <w:lang w:eastAsia="zh-CN"/>
              </w:rPr>
            </w:pPr>
          </w:p>
        </w:tc>
        <w:tc>
          <w:tcPr>
            <w:tcW w:w="3242" w:type="dxa"/>
            <w:vAlign w:val="center"/>
          </w:tcPr>
          <w:p>
            <w:pPr>
              <w:pStyle w:val="28"/>
              <w:adjustRightInd w:val="0"/>
              <w:spacing w:line="360" w:lineRule="auto"/>
              <w:ind w:firstLine="0" w:firstLineChars="0"/>
              <w:contextualSpacing/>
              <w:rPr>
                <w:rFonts w:hint="default" w:ascii="Times New Roman" w:hAnsi="Times New Roman" w:cs="Times New Roman"/>
                <w:szCs w:val="21"/>
                <w:lang w:eastAsia="zh-CN"/>
              </w:rPr>
            </w:pPr>
          </w:p>
        </w:tc>
        <w:tc>
          <w:tcPr>
            <w:tcW w:w="1350" w:type="dxa"/>
            <w:vAlign w:val="center"/>
          </w:tcPr>
          <w:p>
            <w:pPr>
              <w:pStyle w:val="28"/>
              <w:adjustRightInd w:val="0"/>
              <w:spacing w:line="360" w:lineRule="auto"/>
              <w:ind w:firstLine="0" w:firstLineChars="0"/>
              <w:contextualSpacing/>
              <w:rPr>
                <w:rFonts w:hint="default" w:ascii="Times New Roman" w:hAnsi="Times New Roman" w:eastAsia="宋体" w:cs="Times New Roman"/>
                <w:szCs w:val="21"/>
                <w:lang w:eastAsia="zh-CN"/>
              </w:rPr>
            </w:pPr>
          </w:p>
        </w:tc>
        <w:tc>
          <w:tcPr>
            <w:tcW w:w="1515" w:type="dxa"/>
            <w:vAlign w:val="center"/>
          </w:tcPr>
          <w:p>
            <w:pPr>
              <w:pStyle w:val="28"/>
              <w:adjustRightInd w:val="0"/>
              <w:spacing w:line="360" w:lineRule="auto"/>
              <w:ind w:firstLine="0" w:firstLineChars="0"/>
              <w:contextualSpacing/>
              <w:rPr>
                <w:rFonts w:hint="default" w:ascii="Times New Roman" w:hAnsi="Times New Roman" w:eastAsia="宋体" w:cs="Times New Roman"/>
                <w:szCs w:val="21"/>
                <w:lang w:eastAsia="zh-CN"/>
              </w:rPr>
            </w:pPr>
          </w:p>
        </w:tc>
        <w:tc>
          <w:tcPr>
            <w:tcW w:w="1447" w:type="dxa"/>
            <w:vAlign w:val="center"/>
          </w:tcPr>
          <w:p>
            <w:pPr>
              <w:pStyle w:val="28"/>
              <w:adjustRightInd w:val="0"/>
              <w:spacing w:line="360" w:lineRule="auto"/>
              <w:ind w:firstLine="0" w:firstLineChars="0"/>
              <w:contextualSpacing/>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shd w:val="clear" w:color="auto" w:fill="auto"/>
            <w:vAlign w:val="center"/>
          </w:tcPr>
          <w:p>
            <w:pPr>
              <w:pStyle w:val="28"/>
              <w:adjustRightInd w:val="0"/>
              <w:spacing w:line="360" w:lineRule="auto"/>
              <w:ind w:firstLine="0" w:firstLineChars="0"/>
              <w:contextualSpacing/>
              <w:jc w:val="center"/>
              <w:rPr>
                <w:rFonts w:hint="default" w:ascii="Times New Roman" w:hAnsi="Times New Roman" w:eastAsia="宋体" w:cs="Times New Roman"/>
                <w:kern w:val="0"/>
                <w:sz w:val="21"/>
                <w:szCs w:val="21"/>
                <w:lang w:val="en-US" w:eastAsia="zh-CN" w:bidi="ar-SA"/>
              </w:rPr>
            </w:pPr>
          </w:p>
        </w:tc>
        <w:tc>
          <w:tcPr>
            <w:tcW w:w="1322" w:type="dxa"/>
            <w:shd w:val="clear" w:color="auto" w:fill="auto"/>
            <w:vAlign w:val="center"/>
          </w:tcPr>
          <w:p>
            <w:pPr>
              <w:pStyle w:val="28"/>
              <w:adjustRightInd w:val="0"/>
              <w:spacing w:line="360" w:lineRule="auto"/>
              <w:ind w:firstLine="0" w:firstLineChars="0"/>
              <w:contextualSpacing/>
              <w:jc w:val="center"/>
              <w:rPr>
                <w:rFonts w:hint="default" w:ascii="Times New Roman" w:hAnsi="Times New Roman" w:eastAsia="宋体" w:cs="Times New Roman"/>
                <w:kern w:val="0"/>
                <w:sz w:val="21"/>
                <w:szCs w:val="21"/>
                <w:lang w:val="en-US" w:eastAsia="zh-CN" w:bidi="ar-SA"/>
              </w:rPr>
            </w:pPr>
          </w:p>
        </w:tc>
        <w:tc>
          <w:tcPr>
            <w:tcW w:w="3242" w:type="dxa"/>
            <w:shd w:val="clear" w:color="auto" w:fill="auto"/>
            <w:vAlign w:val="center"/>
          </w:tcPr>
          <w:p>
            <w:pPr>
              <w:pStyle w:val="28"/>
              <w:adjustRightInd w:val="0"/>
              <w:spacing w:line="360" w:lineRule="auto"/>
              <w:ind w:firstLine="0" w:firstLineChars="0"/>
              <w:contextualSpacing/>
              <w:rPr>
                <w:rFonts w:hint="default" w:ascii="Times New Roman" w:hAnsi="Times New Roman" w:eastAsia="宋体" w:cs="Times New Roman"/>
                <w:kern w:val="0"/>
                <w:sz w:val="21"/>
                <w:szCs w:val="21"/>
                <w:lang w:val="en-US" w:eastAsia="zh-CN" w:bidi="ar-SA"/>
              </w:rPr>
            </w:pPr>
          </w:p>
        </w:tc>
        <w:tc>
          <w:tcPr>
            <w:tcW w:w="1350" w:type="dxa"/>
            <w:vAlign w:val="center"/>
          </w:tcPr>
          <w:p>
            <w:pPr>
              <w:pStyle w:val="28"/>
              <w:adjustRightInd w:val="0"/>
              <w:spacing w:line="240" w:lineRule="auto"/>
              <w:ind w:firstLine="0" w:firstLineChars="0"/>
              <w:contextualSpacing/>
              <w:rPr>
                <w:rFonts w:hint="default" w:ascii="Times New Roman" w:hAnsi="Times New Roman" w:eastAsia="宋体" w:cs="Times New Roman"/>
                <w:szCs w:val="21"/>
                <w:lang w:eastAsia="zh-CN"/>
              </w:rPr>
            </w:pPr>
          </w:p>
        </w:tc>
        <w:tc>
          <w:tcPr>
            <w:tcW w:w="1515" w:type="dxa"/>
            <w:vAlign w:val="center"/>
          </w:tcPr>
          <w:p>
            <w:pPr>
              <w:pStyle w:val="28"/>
              <w:adjustRightInd w:val="0"/>
              <w:spacing w:line="360" w:lineRule="auto"/>
              <w:ind w:firstLine="0" w:firstLineChars="0"/>
              <w:contextualSpacing/>
              <w:rPr>
                <w:rFonts w:hint="default" w:ascii="Times New Roman" w:hAnsi="Times New Roman" w:cs="Times New Roman"/>
                <w:szCs w:val="21"/>
              </w:rPr>
            </w:pPr>
          </w:p>
        </w:tc>
        <w:tc>
          <w:tcPr>
            <w:tcW w:w="1447" w:type="dxa"/>
            <w:vAlign w:val="center"/>
          </w:tcPr>
          <w:p>
            <w:pPr>
              <w:pStyle w:val="28"/>
              <w:adjustRightInd w:val="0"/>
              <w:spacing w:line="360" w:lineRule="auto"/>
              <w:ind w:firstLine="0" w:firstLineChars="0"/>
              <w:contextualSpacing/>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shd w:val="clear" w:color="auto" w:fill="auto"/>
            <w:vAlign w:val="center"/>
          </w:tcPr>
          <w:p>
            <w:pPr>
              <w:pStyle w:val="28"/>
              <w:adjustRightInd w:val="0"/>
              <w:spacing w:line="360" w:lineRule="auto"/>
              <w:ind w:firstLine="0" w:firstLineChars="0"/>
              <w:contextualSpacing/>
              <w:jc w:val="center"/>
              <w:rPr>
                <w:rFonts w:hint="default" w:ascii="Times New Roman" w:hAnsi="Times New Roman" w:eastAsia="宋体" w:cs="Times New Roman"/>
                <w:kern w:val="0"/>
                <w:sz w:val="21"/>
                <w:szCs w:val="21"/>
                <w:lang w:val="en-US" w:eastAsia="zh-CN" w:bidi="ar-SA"/>
              </w:rPr>
            </w:pPr>
          </w:p>
        </w:tc>
        <w:tc>
          <w:tcPr>
            <w:tcW w:w="1322" w:type="dxa"/>
            <w:shd w:val="clear" w:color="auto" w:fill="auto"/>
            <w:vAlign w:val="center"/>
          </w:tcPr>
          <w:p>
            <w:pPr>
              <w:pStyle w:val="28"/>
              <w:adjustRightInd w:val="0"/>
              <w:spacing w:line="360" w:lineRule="auto"/>
              <w:ind w:firstLine="0" w:firstLineChars="0"/>
              <w:contextualSpacing/>
              <w:jc w:val="center"/>
              <w:rPr>
                <w:rFonts w:hint="default" w:ascii="Times New Roman" w:hAnsi="Times New Roman" w:eastAsia="宋体" w:cs="Times New Roman"/>
                <w:kern w:val="0"/>
                <w:sz w:val="21"/>
                <w:szCs w:val="21"/>
                <w:lang w:val="en-US" w:eastAsia="zh-CN" w:bidi="ar-SA"/>
              </w:rPr>
            </w:pPr>
          </w:p>
        </w:tc>
        <w:tc>
          <w:tcPr>
            <w:tcW w:w="3242" w:type="dxa"/>
            <w:shd w:val="clear" w:color="auto" w:fill="auto"/>
            <w:vAlign w:val="center"/>
          </w:tcPr>
          <w:p>
            <w:pPr>
              <w:pStyle w:val="28"/>
              <w:adjustRightInd w:val="0"/>
              <w:spacing w:line="360" w:lineRule="auto"/>
              <w:ind w:firstLine="0" w:firstLineChars="0"/>
              <w:contextualSpacing/>
              <w:rPr>
                <w:rFonts w:hint="default" w:ascii="Times New Roman" w:hAnsi="Times New Roman" w:eastAsia="宋体" w:cs="Times New Roman"/>
                <w:kern w:val="0"/>
                <w:sz w:val="21"/>
                <w:szCs w:val="21"/>
                <w:lang w:val="en-US" w:eastAsia="zh-CN" w:bidi="ar-SA"/>
              </w:rPr>
            </w:pPr>
          </w:p>
        </w:tc>
        <w:tc>
          <w:tcPr>
            <w:tcW w:w="1350" w:type="dxa"/>
            <w:vAlign w:val="center"/>
          </w:tcPr>
          <w:p>
            <w:pPr>
              <w:pStyle w:val="28"/>
              <w:adjustRightInd w:val="0"/>
              <w:spacing w:line="240" w:lineRule="auto"/>
              <w:ind w:firstLine="0" w:firstLineChars="0"/>
              <w:contextualSpacing/>
              <w:rPr>
                <w:rFonts w:hint="default" w:ascii="Times New Roman" w:hAnsi="Times New Roman" w:cs="Times New Roman"/>
                <w:szCs w:val="21"/>
                <w:lang w:eastAsia="zh-CN"/>
              </w:rPr>
            </w:pPr>
          </w:p>
        </w:tc>
        <w:tc>
          <w:tcPr>
            <w:tcW w:w="1515" w:type="dxa"/>
            <w:vAlign w:val="center"/>
          </w:tcPr>
          <w:p>
            <w:pPr>
              <w:pStyle w:val="28"/>
              <w:adjustRightInd w:val="0"/>
              <w:spacing w:line="360" w:lineRule="auto"/>
              <w:ind w:firstLine="0" w:firstLineChars="0"/>
              <w:contextualSpacing/>
              <w:rPr>
                <w:rFonts w:hint="default" w:ascii="Times New Roman" w:hAnsi="Times New Roman" w:cs="Times New Roman"/>
                <w:szCs w:val="21"/>
              </w:rPr>
            </w:pPr>
          </w:p>
        </w:tc>
        <w:tc>
          <w:tcPr>
            <w:tcW w:w="1447" w:type="dxa"/>
            <w:vAlign w:val="center"/>
          </w:tcPr>
          <w:p>
            <w:pPr>
              <w:pStyle w:val="28"/>
              <w:adjustRightInd w:val="0"/>
              <w:spacing w:line="360" w:lineRule="auto"/>
              <w:ind w:firstLine="0" w:firstLineChars="0"/>
              <w:contextualSpacing/>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shd w:val="clear" w:color="auto" w:fill="auto"/>
            <w:vAlign w:val="center"/>
          </w:tcPr>
          <w:p>
            <w:pPr>
              <w:pStyle w:val="28"/>
              <w:adjustRightInd w:val="0"/>
              <w:spacing w:line="360" w:lineRule="auto"/>
              <w:ind w:firstLine="0" w:firstLineChars="0"/>
              <w:contextualSpacing/>
              <w:jc w:val="center"/>
              <w:rPr>
                <w:rFonts w:hint="default" w:ascii="Times New Roman" w:hAnsi="Times New Roman" w:eastAsia="宋体" w:cs="Times New Roman"/>
                <w:kern w:val="0"/>
                <w:sz w:val="21"/>
                <w:szCs w:val="21"/>
                <w:lang w:val="en-US" w:eastAsia="zh-CN" w:bidi="ar-SA"/>
              </w:rPr>
            </w:pPr>
          </w:p>
        </w:tc>
        <w:tc>
          <w:tcPr>
            <w:tcW w:w="1322" w:type="dxa"/>
            <w:shd w:val="clear" w:color="auto" w:fill="auto"/>
            <w:vAlign w:val="center"/>
          </w:tcPr>
          <w:p>
            <w:pPr>
              <w:pStyle w:val="28"/>
              <w:adjustRightInd w:val="0"/>
              <w:spacing w:line="360" w:lineRule="auto"/>
              <w:ind w:firstLine="0" w:firstLineChars="0"/>
              <w:contextualSpacing/>
              <w:jc w:val="center"/>
              <w:rPr>
                <w:rFonts w:hint="default" w:ascii="Times New Roman" w:hAnsi="Times New Roman" w:eastAsia="宋体" w:cs="Times New Roman"/>
                <w:kern w:val="0"/>
                <w:sz w:val="21"/>
                <w:szCs w:val="21"/>
                <w:lang w:val="en-US" w:eastAsia="zh-CN" w:bidi="ar-SA"/>
              </w:rPr>
            </w:pPr>
          </w:p>
        </w:tc>
        <w:tc>
          <w:tcPr>
            <w:tcW w:w="3242" w:type="dxa"/>
            <w:shd w:val="clear" w:color="auto" w:fill="auto"/>
            <w:vAlign w:val="center"/>
          </w:tcPr>
          <w:p>
            <w:pPr>
              <w:pStyle w:val="28"/>
              <w:adjustRightInd w:val="0"/>
              <w:spacing w:line="360" w:lineRule="auto"/>
              <w:ind w:firstLine="0" w:firstLineChars="0"/>
              <w:contextualSpacing/>
              <w:rPr>
                <w:rFonts w:hint="default" w:ascii="Times New Roman" w:hAnsi="Times New Roman" w:eastAsia="宋体" w:cs="Times New Roman"/>
                <w:kern w:val="0"/>
                <w:sz w:val="21"/>
                <w:szCs w:val="21"/>
                <w:lang w:val="en-US" w:eastAsia="zh-CN" w:bidi="ar-SA"/>
              </w:rPr>
            </w:pPr>
          </w:p>
        </w:tc>
        <w:tc>
          <w:tcPr>
            <w:tcW w:w="1350" w:type="dxa"/>
            <w:vAlign w:val="center"/>
          </w:tcPr>
          <w:p>
            <w:pPr>
              <w:pStyle w:val="28"/>
              <w:adjustRightInd w:val="0"/>
              <w:spacing w:line="240" w:lineRule="auto"/>
              <w:ind w:firstLine="0" w:firstLineChars="0"/>
              <w:contextualSpacing/>
              <w:rPr>
                <w:rFonts w:hint="default" w:ascii="Times New Roman" w:hAnsi="Times New Roman" w:cs="Times New Roman"/>
                <w:szCs w:val="21"/>
                <w:lang w:eastAsia="zh-CN"/>
              </w:rPr>
            </w:pPr>
          </w:p>
        </w:tc>
        <w:tc>
          <w:tcPr>
            <w:tcW w:w="1515" w:type="dxa"/>
            <w:vAlign w:val="center"/>
          </w:tcPr>
          <w:p>
            <w:pPr>
              <w:pStyle w:val="28"/>
              <w:adjustRightInd w:val="0"/>
              <w:spacing w:line="360" w:lineRule="auto"/>
              <w:ind w:firstLine="0" w:firstLineChars="0"/>
              <w:contextualSpacing/>
              <w:rPr>
                <w:rFonts w:hint="default" w:ascii="Times New Roman" w:hAnsi="Times New Roman" w:cs="Times New Roman"/>
                <w:szCs w:val="21"/>
              </w:rPr>
            </w:pPr>
          </w:p>
        </w:tc>
        <w:tc>
          <w:tcPr>
            <w:tcW w:w="1447" w:type="dxa"/>
            <w:vAlign w:val="center"/>
          </w:tcPr>
          <w:p>
            <w:pPr>
              <w:pStyle w:val="28"/>
              <w:adjustRightInd w:val="0"/>
              <w:spacing w:line="360" w:lineRule="auto"/>
              <w:ind w:firstLine="0" w:firstLineChars="0"/>
              <w:contextualSpacing/>
              <w:rPr>
                <w:rFonts w:hint="default"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adjustRightInd w:val="0"/>
              <w:spacing w:line="360" w:lineRule="auto"/>
              <w:ind w:firstLine="0" w:firstLineChars="0"/>
              <w:contextualSpacing/>
              <w:rPr>
                <w:rFonts w:hint="default" w:ascii="Times New Roman" w:hAnsi="Times New Roman" w:cs="Times New Roman"/>
                <w:szCs w:val="21"/>
              </w:rPr>
            </w:pPr>
            <w:r>
              <w:rPr>
                <w:rFonts w:hint="default" w:ascii="Times New Roman" w:hAnsi="Times New Roman" w:cs="Times New Roman"/>
                <w:szCs w:val="21"/>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adjustRightInd w:val="0"/>
              <w:spacing w:line="360" w:lineRule="auto"/>
              <w:contextualSpacing/>
              <w:rPr>
                <w:rFonts w:hint="default" w:ascii="Times New Roman" w:hAnsi="Times New Roman" w:cs="Times New Roman"/>
                <w:lang w:val="en-US" w:eastAsia="zh-CN"/>
              </w:rPr>
            </w:pPr>
            <w:r>
              <w:rPr>
                <w:rFonts w:hint="default" w:ascii="Times New Roman" w:hAnsi="Times New Roman" w:cs="Times New Roman"/>
                <w:szCs w:val="21"/>
                <w:lang w:val="en-US" w:eastAsia="zh-CN"/>
              </w:rPr>
              <w:t>2023</w:t>
            </w:r>
            <w:r>
              <w:rPr>
                <w:rFonts w:hint="default" w:ascii="Times New Roman" w:hAnsi="Times New Roman" w:cs="Times New Roman"/>
                <w:szCs w:val="21"/>
              </w:rPr>
              <w:t>年</w:t>
            </w:r>
            <w:r>
              <w:rPr>
                <w:rFonts w:hint="default" w:ascii="Times New Roman" w:hAnsi="Times New Roman" w:cs="Times New Roman"/>
                <w:szCs w:val="21"/>
                <w:lang w:val="en-US" w:eastAsia="zh-CN"/>
              </w:rPr>
              <w:t>12</w:t>
            </w:r>
            <w:r>
              <w:rPr>
                <w:rFonts w:hint="default" w:ascii="Times New Roman" w:hAnsi="Times New Roman" w:cs="Times New Roman"/>
                <w:szCs w:val="21"/>
              </w:rPr>
              <w:t>月</w:t>
            </w:r>
            <w:r>
              <w:rPr>
                <w:rFonts w:hint="default" w:ascii="Times New Roman" w:hAnsi="Times New Roman" w:cs="Times New Roman"/>
                <w:szCs w:val="21"/>
                <w:lang w:val="en-US" w:eastAsia="zh-CN"/>
              </w:rPr>
              <w:t>6</w:t>
            </w:r>
            <w:r>
              <w:rPr>
                <w:rFonts w:hint="default" w:ascii="Times New Roman" w:hAnsi="Times New Roman" w:cs="Times New Roman"/>
                <w:szCs w:val="21"/>
              </w:rPr>
              <w:t>日，收到《关于下达</w:t>
            </w:r>
            <w:r>
              <w:rPr>
                <w:rFonts w:hint="default" w:ascii="Times New Roman" w:hAnsi="Times New Roman" w:cs="Times New Roman"/>
                <w:szCs w:val="21"/>
                <w:lang w:val="en-US" w:eastAsia="zh-CN"/>
              </w:rPr>
              <w:t>202</w:t>
            </w:r>
            <w:r>
              <w:rPr>
                <w:rFonts w:hint="default" w:ascii="Times New Roman" w:hAnsi="Times New Roman" w:cs="Times New Roman"/>
                <w:lang w:val="en-US" w:eastAsia="zh-CN"/>
              </w:rPr>
              <w:t>3</w:t>
            </w:r>
            <w:r>
              <w:rPr>
                <w:rFonts w:hint="default" w:ascii="Times New Roman" w:hAnsi="Times New Roman" w:cs="Times New Roman"/>
              </w:rPr>
              <w:t>年第</w:t>
            </w:r>
            <w:r>
              <w:rPr>
                <w:rFonts w:hint="default" w:ascii="Times New Roman" w:hAnsi="Times New Roman" w:cs="Times New Roman"/>
                <w:lang w:val="en-US" w:eastAsia="zh-CN"/>
              </w:rPr>
              <w:t>3</w:t>
            </w:r>
            <w:r>
              <w:rPr>
                <w:rFonts w:hint="default" w:ascii="Times New Roman" w:hAnsi="Times New Roman" w:cs="Times New Roman"/>
              </w:rPr>
              <w:t>批安徽省地方标准制修订计划的通知》后，</w:t>
            </w:r>
            <w:r>
              <w:rPr>
                <w:rFonts w:hint="default" w:ascii="Times New Roman" w:hAnsi="Times New Roman" w:cs="Times New Roman"/>
                <w:lang w:eastAsia="zh-CN"/>
              </w:rPr>
              <w:t>召集船闸建造、机械设计、自动化控制、信息智能等</w:t>
            </w:r>
            <w:r>
              <w:rPr>
                <w:rFonts w:hint="default" w:ascii="Times New Roman" w:hAnsi="Times New Roman" w:cs="Times New Roman"/>
              </w:rPr>
              <w:t>相关领域的专家、技术人员等成立标准编制小组，</w:t>
            </w:r>
            <w:r>
              <w:rPr>
                <w:rFonts w:hint="default" w:ascii="Times New Roman" w:hAnsi="Times New Roman" w:cs="Times New Roman"/>
                <w:szCs w:val="21"/>
              </w:rPr>
              <w:t>成员</w:t>
            </w:r>
            <w:r>
              <w:rPr>
                <w:rFonts w:hint="default" w:ascii="Times New Roman" w:hAnsi="Times New Roman" w:cs="Times New Roman"/>
                <w:szCs w:val="21"/>
                <w:lang w:eastAsia="zh-CN"/>
              </w:rPr>
              <w:t>由</w:t>
            </w:r>
            <w:r>
              <w:rPr>
                <w:rFonts w:hint="default" w:ascii="Times New Roman" w:hAnsi="Times New Roman" w:cs="Times New Roman"/>
              </w:rPr>
              <w:t>安徽建工集团股份有限公司、安徽建工</w:t>
            </w:r>
            <w:r>
              <w:rPr>
                <w:rFonts w:hint="default" w:ascii="Times New Roman" w:hAnsi="Times New Roman" w:cs="Times New Roman"/>
                <w:lang w:val="en-US" w:eastAsia="zh-CN"/>
              </w:rPr>
              <w:t>交通航务集团有限公司、安徽建工（芜湖）建设投资有限公司、合肥工业大学、安徽省交通勘察设计院有限公司等单位组成。</w:t>
            </w:r>
          </w:p>
          <w:p>
            <w:pPr>
              <w:pStyle w:val="28"/>
              <w:adjustRightInd w:val="0"/>
              <w:spacing w:line="360" w:lineRule="auto"/>
              <w:contextualSpacing/>
              <w:rPr>
                <w:rFonts w:hint="default" w:ascii="Times New Roman" w:hAnsi="Times New Roman" w:cs="Times New Roman"/>
                <w:lang w:val="en-US" w:eastAsia="zh-CN"/>
              </w:rPr>
            </w:pPr>
            <w:r>
              <w:rPr>
                <w:rFonts w:hint="default" w:ascii="Times New Roman" w:hAnsi="Times New Roman" w:cs="Times New Roman"/>
                <w:lang w:val="en-US" w:eastAsia="zh-CN"/>
              </w:rPr>
              <w:t>标准起草过程：</w:t>
            </w:r>
          </w:p>
          <w:p>
            <w:pPr>
              <w:pStyle w:val="28"/>
              <w:adjustRightInd w:val="0"/>
              <w:spacing w:line="360" w:lineRule="auto"/>
              <w:contextualSpacing/>
              <w:rPr>
                <w:rFonts w:hint="default" w:ascii="Times New Roman" w:hAnsi="Times New Roman" w:cs="Times New Roman"/>
                <w:lang w:val="en-US" w:eastAsia="zh-CN"/>
              </w:rPr>
            </w:pPr>
            <w:r>
              <w:rPr>
                <w:rFonts w:hint="default" w:ascii="Times New Roman" w:hAnsi="Times New Roman" w:cs="Times New Roman"/>
                <w:lang w:val="en-US" w:eastAsia="zh-CN"/>
              </w:rPr>
              <w:t>2023年12月10日，建工路港牵头组织召开了《船闸闸室装配式智能移动模机应用技术规程》编制启动会，明确了编制大纲、编制内容、编制计划及具体负责人</w:t>
            </w:r>
            <w:r>
              <w:rPr>
                <w:rFonts w:hint="eastAsia" w:ascii="Times New Roman" w:cs="Times New Roman"/>
                <w:lang w:val="en-US" w:eastAsia="zh-CN"/>
              </w:rPr>
              <w:t>。</w:t>
            </w:r>
          </w:p>
          <w:p>
            <w:pPr>
              <w:pStyle w:val="28"/>
              <w:keepNext w:val="0"/>
              <w:keepLines w:val="0"/>
              <w:pageBreakBefore w:val="0"/>
              <w:kinsoku/>
              <w:wordWrap w:val="0"/>
              <w:overflowPunct/>
              <w:topLinePunct w:val="0"/>
              <w:bidi w:val="0"/>
              <w:adjustRightInd w:val="0"/>
              <w:snapToGrid/>
              <w:spacing w:line="360" w:lineRule="auto"/>
              <w:contextualSpacing/>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2024年1月~2月，编制小组广泛收集国内外船闸建设模板技术资料、技术文献、法律法规等资料；研究国际上先进的水运工程施工标准和相关的机械制造标准，同时，收集安徽省内已有的船闸建设工程资料，包括但不限于涉及模机施工时的质量数据、施工工艺记录等，为规程编写提供实际依据。</w:t>
            </w:r>
          </w:p>
          <w:p>
            <w:pPr>
              <w:pStyle w:val="28"/>
              <w:keepNext w:val="0"/>
              <w:keepLines w:val="0"/>
              <w:pageBreakBefore w:val="0"/>
              <w:kinsoku/>
              <w:wordWrap w:val="0"/>
              <w:overflowPunct/>
              <w:topLinePunct w:val="0"/>
              <w:bidi w:val="0"/>
              <w:adjustRightInd w:val="0"/>
              <w:snapToGrid/>
              <w:spacing w:line="360" w:lineRule="auto"/>
              <w:contextualSpacing/>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2024年3月</w:t>
            </w:r>
            <w:r>
              <w:rPr>
                <w:rFonts w:hint="eastAsia" w:ascii="Times New Roman" w:cs="Times New Roman"/>
                <w:lang w:val="en-US" w:eastAsia="zh-CN"/>
              </w:rPr>
              <w:t>，</w:t>
            </w:r>
            <w:r>
              <w:rPr>
                <w:rFonts w:hint="default" w:ascii="Times New Roman" w:hAnsi="Times New Roman" w:cs="Times New Roman"/>
                <w:lang w:val="en-US" w:eastAsia="zh-CN"/>
              </w:rPr>
              <w:t>召开了多次内部编制推进会及内部征求意见，按照 GB/T 1.1</w:t>
            </w:r>
            <w:r>
              <w:rPr>
                <w:rFonts w:hint="eastAsia" w:ascii="Times New Roman" w:cs="Times New Roman"/>
                <w:lang w:val="en-US" w:eastAsia="zh-CN"/>
              </w:rPr>
              <w:t xml:space="preserve"> -</w:t>
            </w:r>
            <w:r>
              <w:rPr>
                <w:rFonts w:hint="default" w:ascii="Times New Roman" w:hAnsi="Times New Roman" w:cs="Times New Roman"/>
                <w:lang w:val="en-US" w:eastAsia="zh-CN"/>
              </w:rPr>
              <w:t xml:space="preserve"> 2020《标准化工作导则 第 1 部分：标准化文件的结构和起草规则》等相关规定编写标准草案，明确规程大纲、内容，并在内部对标准草案进行内部征求意见，明确后进行标准初步编制。</w:t>
            </w:r>
          </w:p>
          <w:p>
            <w:pPr>
              <w:pStyle w:val="28"/>
              <w:keepNext w:val="0"/>
              <w:keepLines w:val="0"/>
              <w:pageBreakBefore w:val="0"/>
              <w:kinsoku/>
              <w:wordWrap w:val="0"/>
              <w:overflowPunct/>
              <w:topLinePunct w:val="0"/>
              <w:bidi w:val="0"/>
              <w:adjustRightInd w:val="0"/>
              <w:snapToGrid/>
              <w:spacing w:line="360" w:lineRule="auto"/>
              <w:contextualSpacing/>
              <w:textAlignment w:val="auto"/>
              <w:rPr>
                <w:rFonts w:hint="default" w:ascii="Times New Roman" w:hAnsi="Times New Roman" w:cs="Times New Roman"/>
                <w:szCs w:val="21"/>
                <w:lang w:val="en-US" w:eastAsia="zh-CN"/>
              </w:rPr>
            </w:pPr>
            <w:r>
              <w:rPr>
                <w:rFonts w:hint="default" w:ascii="Times New Roman" w:hAnsi="Times New Roman" w:cs="Times New Roman"/>
                <w:color w:val="auto"/>
                <w:szCs w:val="21"/>
                <w:lang w:val="en-US" w:eastAsia="zh-CN"/>
              </w:rPr>
              <w:t>2024年5月19日</w:t>
            </w:r>
            <w:r>
              <w:rPr>
                <w:rFonts w:hint="eastAsia" w:ascii="Times New Roman" w:cs="Times New Roman"/>
                <w:color w:val="auto"/>
                <w:szCs w:val="21"/>
                <w:lang w:val="en-US" w:eastAsia="zh-CN"/>
              </w:rPr>
              <w:t>，</w:t>
            </w:r>
            <w:r>
              <w:rPr>
                <w:rFonts w:hint="default" w:ascii="Times New Roman" w:hAnsi="Times New Roman" w:cs="Times New Roman"/>
                <w:szCs w:val="21"/>
                <w:lang w:val="en-US" w:eastAsia="zh-CN"/>
              </w:rPr>
              <w:t>组织召开了《船闸闸室装配式智能移动模机应用技术规程》大纲专家审查会。会后编制小组根据专家意见对标准编制大纲进行了调整，对编制内容进行了补充。</w:t>
            </w:r>
          </w:p>
          <w:p>
            <w:pPr>
              <w:pStyle w:val="28"/>
              <w:keepNext w:val="0"/>
              <w:keepLines w:val="0"/>
              <w:pageBreakBefore w:val="0"/>
              <w:kinsoku/>
              <w:wordWrap w:val="0"/>
              <w:overflowPunct/>
              <w:topLinePunct w:val="0"/>
              <w:bidi w:val="0"/>
              <w:adjustRightInd w:val="0"/>
              <w:snapToGrid/>
              <w:spacing w:line="360" w:lineRule="auto"/>
              <w:contextualSpacing/>
              <w:textAlignment w:val="auto"/>
              <w:rPr>
                <w:rFonts w:hint="default" w:ascii="Times New Roman" w:hAnsi="Times New Roman" w:cs="Times New Roman"/>
                <w:szCs w:val="21"/>
                <w:lang w:val="en-US" w:eastAsia="zh-CN"/>
              </w:rPr>
            </w:pPr>
            <w:r>
              <w:rPr>
                <w:rFonts w:hint="default" w:ascii="Times New Roman" w:hAnsi="Times New Roman" w:cs="Times New Roman"/>
                <w:color w:val="auto"/>
                <w:szCs w:val="21"/>
                <w:lang w:val="en-US" w:eastAsia="zh-CN"/>
              </w:rPr>
              <w:t>2024年8月15日</w:t>
            </w:r>
            <w:r>
              <w:rPr>
                <w:rFonts w:hint="eastAsia" w:ascii="Times New Roman" w:cs="Times New Roman"/>
                <w:color w:val="auto"/>
                <w:szCs w:val="21"/>
                <w:lang w:val="en-US" w:eastAsia="zh-CN"/>
              </w:rPr>
              <w:t>，</w:t>
            </w:r>
            <w:r>
              <w:rPr>
                <w:rFonts w:hint="default" w:ascii="Times New Roman" w:hAnsi="Times New Roman" w:cs="Times New Roman"/>
                <w:szCs w:val="21"/>
                <w:lang w:val="en-US" w:eastAsia="zh-CN"/>
              </w:rPr>
              <w:t>组织召开了《船闸闸室装配式智能移动模机应用技术规程》内部审查会，编写小组对标准内容进行了完善。</w:t>
            </w:r>
          </w:p>
          <w:p>
            <w:pPr>
              <w:pStyle w:val="28"/>
              <w:keepNext w:val="0"/>
              <w:keepLines w:val="0"/>
              <w:pageBreakBefore w:val="0"/>
              <w:kinsoku/>
              <w:wordWrap w:val="0"/>
              <w:overflowPunct/>
              <w:topLinePunct w:val="0"/>
              <w:bidi w:val="0"/>
              <w:adjustRightInd w:val="0"/>
              <w:snapToGrid/>
              <w:spacing w:line="360" w:lineRule="auto"/>
              <w:contextualSpacing/>
              <w:textAlignment w:val="auto"/>
              <w:rPr>
                <w:rFonts w:hint="default" w:ascii="Times New Roman" w:hAnsi="Times New Roman" w:cs="Times New Roman"/>
                <w:szCs w:val="21"/>
              </w:rPr>
            </w:pPr>
            <w:r>
              <w:rPr>
                <w:rFonts w:hint="default" w:ascii="Times New Roman" w:hAnsi="Times New Roman" w:cs="Times New Roman"/>
                <w:color w:val="auto"/>
                <w:szCs w:val="21"/>
                <w:lang w:val="en-US" w:eastAsia="zh-CN"/>
              </w:rPr>
              <w:t>2024年10月30日</w:t>
            </w:r>
            <w:r>
              <w:rPr>
                <w:rFonts w:hint="eastAsia" w:ascii="Times New Roman" w:cs="Times New Roman"/>
                <w:color w:val="auto"/>
                <w:szCs w:val="21"/>
                <w:lang w:val="en-US" w:eastAsia="zh-CN"/>
              </w:rPr>
              <w:t>，</w:t>
            </w:r>
            <w:r>
              <w:rPr>
                <w:rFonts w:hint="default" w:ascii="Times New Roman" w:hAnsi="Times New Roman" w:cs="Times New Roman"/>
                <w:szCs w:val="21"/>
                <w:lang w:val="en-US" w:eastAsia="zh-CN"/>
              </w:rPr>
              <w:t>组织召开了《船闸闸室装配式智能移动模机应用技术规程》征求意见稿专家审查会。编制小组进行了完善。</w:t>
            </w:r>
          </w:p>
          <w:p>
            <w:pPr>
              <w:pStyle w:val="28"/>
              <w:keepNext w:val="0"/>
              <w:keepLines w:val="0"/>
              <w:pageBreakBefore w:val="0"/>
              <w:kinsoku/>
              <w:wordWrap w:val="0"/>
              <w:overflowPunct/>
              <w:topLinePunct w:val="0"/>
              <w:bidi w:val="0"/>
              <w:adjustRightInd w:val="0"/>
              <w:snapToGrid/>
              <w:spacing w:line="360" w:lineRule="auto"/>
              <w:contextualSpacing/>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征求意见情况：</w:t>
            </w:r>
          </w:p>
          <w:p>
            <w:pPr>
              <w:keepNext w:val="0"/>
              <w:keepLines w:val="0"/>
              <w:pageBreakBefore w:val="0"/>
              <w:kinsoku/>
              <w:wordWrap w:val="0"/>
              <w:overflowPunct/>
              <w:topLinePunct w:val="0"/>
              <w:bidi w:val="0"/>
              <w:adjustRightInd w:val="0"/>
              <w:snapToGrid/>
              <w:spacing w:line="360" w:lineRule="auto"/>
              <w:ind w:firstLine="420" w:firstLineChars="200"/>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000000"/>
                <w:kern w:val="0"/>
                <w:szCs w:val="21"/>
              </w:rPr>
              <w:t>为了体现</w:t>
            </w:r>
            <w:r>
              <w:rPr>
                <w:rFonts w:hint="default" w:ascii="Times New Roman" w:hAnsi="Times New Roman" w:cs="Times New Roman"/>
                <w:color w:val="000000"/>
                <w:kern w:val="0"/>
                <w:szCs w:val="21"/>
                <w:lang w:eastAsia="zh-CN"/>
              </w:rPr>
              <w:t>《船闸闸室装配式智能移动模机应用技术规程》</w:t>
            </w:r>
            <w:r>
              <w:rPr>
                <w:rFonts w:hint="default" w:ascii="Times New Roman" w:hAnsi="Times New Roman" w:eastAsia="宋体" w:cs="Times New Roman"/>
                <w:color w:val="000000"/>
                <w:kern w:val="0"/>
                <w:szCs w:val="21"/>
              </w:rPr>
              <w:t>标准的适用性和可操作性，</w:t>
            </w:r>
            <w:r>
              <w:rPr>
                <w:rFonts w:hint="default" w:ascii="Times New Roman" w:hAnsi="Times New Roman" w:cs="Times New Roman"/>
                <w:color w:val="000000"/>
                <w:kern w:val="0"/>
                <w:szCs w:val="21"/>
                <w:lang w:val="en-US" w:eastAsia="zh-CN"/>
              </w:rPr>
              <w:t>编制组</w:t>
            </w:r>
            <w:r>
              <w:rPr>
                <w:rFonts w:hint="default" w:ascii="Times New Roman" w:hAnsi="Times New Roman" w:eastAsia="宋体" w:cs="Times New Roman"/>
                <w:color w:val="000000"/>
                <w:kern w:val="0"/>
                <w:szCs w:val="21"/>
              </w:rPr>
              <w:t>在收集和吸纳参编企业的意见的基础上，扩大在长三角区域的船闸闸室装配式智能移动模机</w:t>
            </w:r>
            <w:r>
              <w:rPr>
                <w:rFonts w:hint="default" w:ascii="Times New Roman" w:hAnsi="Times New Roman" w:eastAsia="宋体" w:cs="Times New Roman"/>
                <w:color w:val="auto"/>
                <w:kern w:val="0"/>
                <w:szCs w:val="21"/>
              </w:rPr>
              <w:t>设计、施工企业及专家中广泛征求成功经验或值得借鉴的建议，经过多轮次意见反馈后形成本标准征求稿。</w:t>
            </w:r>
          </w:p>
          <w:p>
            <w:pPr>
              <w:pStyle w:val="28"/>
              <w:keepNext w:val="0"/>
              <w:keepLines w:val="0"/>
              <w:pageBreakBefore w:val="0"/>
              <w:widowControl/>
              <w:kinsoku/>
              <w:wordWrap w:val="0"/>
              <w:overflowPunct/>
              <w:topLinePunct w:val="0"/>
              <w:autoSpaceDE w:val="0"/>
              <w:autoSpaceDN w:val="0"/>
              <w:bidi w:val="0"/>
              <w:adjustRightInd w:val="0"/>
              <w:snapToGrid/>
              <w:spacing w:line="360" w:lineRule="auto"/>
              <w:ind w:firstLine="420" w:firstLineChars="200"/>
              <w:contextualSpacing/>
              <w:textAlignment w:val="auto"/>
              <w:rPr>
                <w:rFonts w:hint="default" w:ascii="Times New Roman" w:hAnsi="Times New Roman" w:cs="Times New Roman"/>
                <w:szCs w:val="21"/>
              </w:rPr>
            </w:pPr>
            <w:r>
              <w:rPr>
                <w:rFonts w:hint="default" w:ascii="Times New Roman" w:hAnsi="Times New Roman" w:eastAsia="宋体" w:cs="Times New Roman"/>
                <w:color w:val="000000"/>
                <w:kern w:val="0"/>
                <w:szCs w:val="21"/>
              </w:rPr>
              <w:t>进入征求意见程序后，工作组将根据各方征求意见反馈情况，逐条逐句实施内部讨论与分析研究；充分吸纳社会面专家的合理建议，进一步修改和完善本标准，尽快形成地方标准报送稿，报请归口单位安徽省市场监督管理局组织专家审核，然后再根据专家审核的意见，对地方标准报送稿进行修改形成地方标准批审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adjustRightInd w:val="0"/>
              <w:spacing w:line="360" w:lineRule="auto"/>
              <w:ind w:firstLine="0" w:firstLineChars="0"/>
              <w:contextualSpacing/>
              <w:rPr>
                <w:rFonts w:hint="default" w:ascii="Times New Roman" w:hAnsi="Times New Roman" w:cs="Times New Roman"/>
                <w:szCs w:val="21"/>
              </w:rPr>
            </w:pPr>
            <w:r>
              <w:rPr>
                <w:rFonts w:hint="default" w:ascii="Times New Roman" w:hAnsi="Times New Roman" w:cs="Times New Roman"/>
                <w:szCs w:val="21"/>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adjustRightInd w:val="0"/>
              <w:spacing w:line="360" w:lineRule="auto"/>
              <w:ind w:firstLine="0" w:firstLineChars="0"/>
              <w:contextualSpacing/>
              <w:rPr>
                <w:rFonts w:hint="default" w:ascii="Times New Roman" w:hAnsi="Times New Roman" w:cs="Times New Roman"/>
                <w:b/>
                <w:szCs w:val="21"/>
              </w:rPr>
            </w:pPr>
            <w:bookmarkStart w:id="30" w:name="_GoBack" w:colFirst="0" w:colLast="5"/>
            <w:r>
              <w:rPr>
                <w:rFonts w:hint="default" w:ascii="Times New Roman" w:hAnsi="Times New Roman" w:cs="Times New Roman"/>
                <w:b/>
                <w:szCs w:val="21"/>
              </w:rPr>
              <w:t>必要性：</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1.规范行业应用</w:t>
            </w:r>
            <w:r>
              <w:rPr>
                <w:rFonts w:hint="default" w:ascii="Times New Roman" w:hAnsi="Times New Roman" w:cs="Times New Roman"/>
                <w:kern w:val="0"/>
                <w:sz w:val="21"/>
                <w:szCs w:val="21"/>
                <w:lang w:val="en-US" w:eastAsia="zh-CN" w:bidi="ar-SA"/>
              </w:rPr>
              <w:t>：</w:t>
            </w:r>
            <w:r>
              <w:rPr>
                <w:rFonts w:hint="default" w:ascii="Times New Roman" w:hAnsi="Times New Roman" w:eastAsia="宋体" w:cs="Times New Roman"/>
                <w:kern w:val="0"/>
                <w:sz w:val="21"/>
                <w:szCs w:val="21"/>
                <w:lang w:val="en-US" w:eastAsia="zh-CN" w:bidi="ar-SA"/>
              </w:rPr>
              <w:t>目前船闸闸室装配式智能移动模机的应用处于不断发展阶段，但缺乏统一的标准规范其使用。不同的生产厂家、施工单位对于模机的操作、安装、调试等环节可能存在差异，导致施工质量参差不齐。制定标准可以明确各环节的具体要求和操作流程，确保模机的正确使用，提高施工的一致性和可靠性。</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 w:val="21"/>
                <w:szCs w:val="21"/>
                <w:lang w:val="en-US" w:eastAsia="zh-CN" w:bidi="ar-SA"/>
              </w:rPr>
              <w:t>2.</w:t>
            </w:r>
            <w:r>
              <w:rPr>
                <w:rFonts w:hint="default" w:ascii="Times New Roman" w:hAnsi="Times New Roman" w:eastAsia="宋体" w:cs="Times New Roman"/>
                <w:kern w:val="0"/>
                <w:sz w:val="21"/>
                <w:szCs w:val="21"/>
                <w:lang w:val="en-US" w:eastAsia="zh-CN" w:bidi="ar-SA"/>
              </w:rPr>
              <w:t>保障施工安全：船闸闸室施工属于大型工程建设，安全风险较高。装配式智能移动模机作为一种新型施工设备，其操作和使用需要严格的安全规范。标准的制定可以规定模机的安全性能要求、操作中的安全注意事项以及应急处理措施等，有效降低施工过程中的安全风险，保障施工人员的生命安全和财产安全。</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 w:val="21"/>
                <w:szCs w:val="21"/>
                <w:lang w:val="en-US" w:eastAsia="zh-CN" w:bidi="ar-SA"/>
              </w:rPr>
              <w:t>3.</w:t>
            </w:r>
            <w:r>
              <w:rPr>
                <w:rFonts w:hint="default" w:ascii="Times New Roman" w:hAnsi="Times New Roman" w:eastAsia="宋体" w:cs="Times New Roman"/>
                <w:kern w:val="0"/>
                <w:sz w:val="21"/>
                <w:szCs w:val="21"/>
                <w:lang w:val="en-US" w:eastAsia="zh-CN" w:bidi="ar-SA"/>
              </w:rPr>
              <w:t>提高施工效率：传统的船闸闸室施工方法存在着工序复杂、施工周期长等问题。装配式智能移动模机的应用可以在一定程度上提高施工效率，在模机的</w:t>
            </w:r>
            <w:r>
              <w:rPr>
                <w:rFonts w:hint="default" w:ascii="Times New Roman" w:hAnsi="Times New Roman" w:cs="Times New Roman"/>
                <w:kern w:val="0"/>
                <w:sz w:val="21"/>
                <w:szCs w:val="21"/>
                <w:lang w:val="en-US" w:eastAsia="zh-CN" w:bidi="ar-SA"/>
              </w:rPr>
              <w:t>设计</w:t>
            </w:r>
            <w:r>
              <w:rPr>
                <w:rFonts w:hint="default" w:ascii="Times New Roman" w:hAnsi="Times New Roman" w:eastAsia="宋体" w:cs="Times New Roman"/>
                <w:kern w:val="0"/>
                <w:sz w:val="21"/>
                <w:szCs w:val="21"/>
                <w:lang w:val="en-US" w:eastAsia="zh-CN" w:bidi="ar-SA"/>
              </w:rPr>
              <w:t>、安装、调试等环节</w:t>
            </w:r>
            <w:r>
              <w:rPr>
                <w:rFonts w:hint="default" w:ascii="Times New Roman" w:hAnsi="Times New Roman" w:cs="Times New Roman"/>
                <w:kern w:val="0"/>
                <w:sz w:val="21"/>
                <w:szCs w:val="21"/>
                <w:lang w:val="en-US" w:eastAsia="zh-CN" w:bidi="ar-SA"/>
              </w:rPr>
              <w:t>进行标准指导，</w:t>
            </w:r>
            <w:r>
              <w:rPr>
                <w:rFonts w:hint="default" w:ascii="Times New Roman" w:hAnsi="Times New Roman" w:eastAsia="宋体" w:cs="Times New Roman"/>
                <w:kern w:val="0"/>
                <w:sz w:val="21"/>
                <w:szCs w:val="21"/>
                <w:lang w:val="en-US" w:eastAsia="zh-CN" w:bidi="ar-SA"/>
              </w:rPr>
              <w:t>提高设备的使用效率，缩短施工周期，从而降低工程成本。</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 w:val="21"/>
                <w:szCs w:val="21"/>
                <w:lang w:val="en-US" w:eastAsia="zh-CN" w:bidi="ar-SA"/>
              </w:rPr>
              <w:t>4.</w:t>
            </w:r>
            <w:r>
              <w:rPr>
                <w:rFonts w:hint="default" w:ascii="Times New Roman" w:hAnsi="Times New Roman" w:eastAsia="宋体" w:cs="Times New Roman"/>
                <w:kern w:val="0"/>
                <w:sz w:val="21"/>
                <w:szCs w:val="21"/>
                <w:lang w:val="en-US" w:eastAsia="zh-CN" w:bidi="ar-SA"/>
              </w:rPr>
              <w:t>适应行业发展需求：随着水运行业的不断发展，对船闸的建设质量和效率提出了更高的要求。装配式智能移动模机作为一种先进的施工技术和设备，具有广阔的应用前景。制定标准可以推动模机技术的不断发展和完善，提高我国船闸建设的技术水平，适应行业发展的需求</w:t>
            </w:r>
            <w:r>
              <w:rPr>
                <w:rFonts w:hint="default" w:ascii="Times New Roman" w:hAnsi="Times New Roman" w:cs="Times New Roman"/>
                <w:kern w:val="0"/>
                <w:sz w:val="21"/>
                <w:szCs w:val="21"/>
                <w:lang w:val="en-US" w:eastAsia="zh-CN" w:bidi="ar-SA"/>
              </w:rPr>
              <w:t>。</w:t>
            </w:r>
          </w:p>
          <w:p>
            <w:pPr>
              <w:pStyle w:val="28"/>
              <w:adjustRightInd w:val="0"/>
              <w:spacing w:line="360" w:lineRule="auto"/>
              <w:ind w:firstLine="0" w:firstLineChars="0"/>
              <w:contextualSpacing/>
              <w:rPr>
                <w:rFonts w:hint="default" w:ascii="Times New Roman" w:hAnsi="Times New Roman" w:cs="Times New Roman"/>
                <w:b/>
                <w:szCs w:val="21"/>
              </w:rPr>
            </w:pPr>
            <w:r>
              <w:rPr>
                <w:rFonts w:hint="default" w:ascii="Times New Roman" w:hAnsi="Times New Roman" w:cs="Times New Roman"/>
                <w:b/>
                <w:szCs w:val="21"/>
              </w:rPr>
              <w:t>意义：</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 w:val="21"/>
                <w:szCs w:val="21"/>
                <w:lang w:val="en-US" w:eastAsia="zh-CN" w:bidi="ar-SA"/>
              </w:rPr>
              <w:t>1.</w:t>
            </w:r>
            <w:r>
              <w:rPr>
                <w:rFonts w:hint="default" w:ascii="Times New Roman" w:hAnsi="Times New Roman" w:eastAsia="宋体" w:cs="Times New Roman"/>
                <w:kern w:val="0"/>
                <w:sz w:val="21"/>
                <w:szCs w:val="21"/>
                <w:lang w:val="en-US" w:eastAsia="zh-CN" w:bidi="ar-SA"/>
              </w:rPr>
              <w:t>对行业技术进步的推动：标准的制定将对船闸闸室装配式智能移动模机的技术研发、生产制造和施工应用等方面起到规范和引导作用</w:t>
            </w:r>
            <w:r>
              <w:rPr>
                <w:rFonts w:hint="default" w:ascii="Times New Roman" w:hAnsi="Times New Roman" w:cs="Times New Roman"/>
                <w:kern w:val="0"/>
                <w:sz w:val="21"/>
                <w:szCs w:val="21"/>
                <w:lang w:val="en-US" w:eastAsia="zh-CN" w:bidi="ar-SA"/>
              </w:rPr>
              <w:t>，</w:t>
            </w:r>
            <w:r>
              <w:rPr>
                <w:rFonts w:hint="default" w:ascii="Times New Roman" w:hAnsi="Times New Roman" w:eastAsia="宋体" w:cs="Times New Roman"/>
                <w:kern w:val="0"/>
                <w:sz w:val="21"/>
                <w:szCs w:val="21"/>
                <w:lang w:val="en-US" w:eastAsia="zh-CN" w:bidi="ar-SA"/>
              </w:rPr>
              <w:t>促进相关技术的不断创新和进步。通过明确技术要求和性能指标，鼓励企业加大研发投入，提高模机的智能化水平和施工质量，推动行业技术水平的整体提升。</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 w:val="21"/>
                <w:szCs w:val="21"/>
                <w:lang w:val="en-US" w:eastAsia="zh-CN" w:bidi="ar-SA"/>
              </w:rPr>
              <w:t>2.</w:t>
            </w:r>
            <w:r>
              <w:rPr>
                <w:rFonts w:hint="default" w:ascii="Times New Roman" w:hAnsi="Times New Roman" w:eastAsia="宋体" w:cs="Times New Roman"/>
                <w:kern w:val="0"/>
                <w:sz w:val="21"/>
                <w:szCs w:val="21"/>
                <w:lang w:val="en-US" w:eastAsia="zh-CN" w:bidi="ar-SA"/>
              </w:rPr>
              <w:t>对工程质量的保障：严格的标准可以确保装配式智能移动模机在船闸闸室施工中的正确应用，提高施工的精度和质量。标准中规定的质量控制指标和验收标准，将有助于施工单位加强对施工过程的管理和监督，保证船闸闸室的结构安全和使用性能，延长船闸的使用寿命。</w:t>
            </w:r>
          </w:p>
          <w:p>
            <w:pPr>
              <w:pStyle w:val="28"/>
              <w:adjustRightInd w:val="0"/>
              <w:spacing w:line="360" w:lineRule="auto"/>
              <w:ind w:firstLine="420" w:firstLineChars="200"/>
              <w:contextualSpacing/>
              <w:rPr>
                <w:rFonts w:hint="default" w:ascii="Times New Roman" w:hAnsi="Times New Roman" w:cs="Times New Roman"/>
                <w:szCs w:val="21"/>
              </w:rPr>
            </w:pPr>
            <w:r>
              <w:rPr>
                <w:rFonts w:hint="default" w:ascii="Times New Roman" w:hAnsi="Times New Roman" w:cs="Times New Roman"/>
                <w:kern w:val="0"/>
                <w:sz w:val="21"/>
                <w:szCs w:val="21"/>
                <w:lang w:val="en-US" w:eastAsia="zh-CN" w:bidi="ar-SA"/>
              </w:rPr>
              <w:t>3.</w:t>
            </w:r>
            <w:r>
              <w:rPr>
                <w:rFonts w:hint="default" w:ascii="Times New Roman" w:hAnsi="Times New Roman" w:eastAsia="宋体" w:cs="Times New Roman"/>
                <w:kern w:val="0"/>
                <w:sz w:val="21"/>
                <w:szCs w:val="21"/>
                <w:lang w:val="en-US" w:eastAsia="zh-CN" w:bidi="ar-SA"/>
              </w:rPr>
              <w:t>增强行业竞争力：对于安徽省的船闸建设行业来说，制定地方标准可以提高本省企业在该领域的技术水平和竞争力。在市场竞争中，符合标准要求的企业将更具有优势，能够承接更多的工程项目，促进本省船闸建设行业的健康发展。同时，标准的制定也有助于提高安徽省在全国船闸建设领域的影响力和话语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adjustRightInd w:val="0"/>
              <w:spacing w:line="360" w:lineRule="auto"/>
              <w:ind w:firstLine="0" w:firstLineChars="0"/>
              <w:contextualSpacing/>
              <w:rPr>
                <w:rFonts w:hint="default" w:ascii="Times New Roman" w:hAnsi="Times New Roman" w:cs="Times New Roman"/>
                <w:szCs w:val="21"/>
              </w:rPr>
            </w:pPr>
            <w:r>
              <w:rPr>
                <w:rFonts w:hint="default" w:ascii="Times New Roman" w:hAnsi="Times New Roman" w:cs="Times New Roman"/>
                <w:szCs w:val="21"/>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adjustRightInd w:val="0"/>
              <w:spacing w:line="360" w:lineRule="auto"/>
              <w:ind w:left="0" w:leftChars="0" w:firstLine="0" w:firstLineChars="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szCs w:val="21"/>
                <w:lang w:val="en-US" w:eastAsia="zh-CN"/>
              </w:rPr>
              <w:t>1.</w:t>
            </w:r>
            <w:r>
              <w:rPr>
                <w:rFonts w:hint="default" w:ascii="Times New Roman" w:hAnsi="Times New Roman" w:cs="Times New Roman"/>
                <w:szCs w:val="21"/>
              </w:rPr>
              <w:t>制</w:t>
            </w:r>
            <w:r>
              <w:rPr>
                <w:rFonts w:hint="default" w:ascii="Times New Roman" w:hAnsi="Times New Roman" w:eastAsia="宋体" w:cs="Times New Roman"/>
                <w:kern w:val="0"/>
                <w:sz w:val="21"/>
                <w:szCs w:val="21"/>
                <w:lang w:val="en-US" w:eastAsia="zh-CN" w:bidi="ar-SA"/>
              </w:rPr>
              <w:t>定标准的原则：</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1）科学性原则：标准的制定需要基于科学的理论和实践经验。对于装配式智能移动模机的结构设计、工作原理、性能参数等方面的规定，要符合工程力学、机械原理等相关科学知识。例如，模机的支撑系统、行走系统的设计要能够承受施工过程中的各种荷载，确保模机的稳定性和安全性。</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2）合理性原则：标准的内容要合理可行，既能够满足船闸闸室施工的实际需求，又能够在现有的技术水平和经济条件下得以实现。例如，在规定模机的操作流程时，充分考虑施工人员的操作习惯和技能水平，使操作流程简单易懂、便于执行</w:t>
            </w:r>
            <w:r>
              <w:rPr>
                <w:rFonts w:hint="default" w:ascii="Times New Roman" w:hAnsi="Times New Roman" w:cs="Times New Roman"/>
                <w:kern w:val="0"/>
                <w:sz w:val="21"/>
                <w:szCs w:val="21"/>
                <w:lang w:val="en-US" w:eastAsia="zh-CN" w:bidi="ar-SA"/>
              </w:rPr>
              <w:t>，</w:t>
            </w:r>
            <w:r>
              <w:rPr>
                <w:rFonts w:hint="default" w:ascii="Times New Roman" w:hAnsi="Times New Roman" w:eastAsia="宋体" w:cs="Times New Roman"/>
                <w:kern w:val="0"/>
                <w:sz w:val="21"/>
                <w:szCs w:val="21"/>
                <w:lang w:val="en-US" w:eastAsia="zh-CN" w:bidi="ar-SA"/>
              </w:rPr>
              <w:t>同时要考虑模机的制造成本和使用成本。</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 w:val="21"/>
                <w:szCs w:val="21"/>
                <w:lang w:val="en-US" w:eastAsia="zh-CN" w:bidi="ar-SA"/>
              </w:rPr>
              <w:t>（3）</w:t>
            </w:r>
            <w:r>
              <w:rPr>
                <w:rFonts w:hint="default" w:ascii="Times New Roman" w:hAnsi="Times New Roman" w:eastAsia="宋体" w:cs="Times New Roman"/>
                <w:kern w:val="0"/>
                <w:sz w:val="21"/>
                <w:szCs w:val="21"/>
                <w:lang w:val="en-US" w:eastAsia="zh-CN" w:bidi="ar-SA"/>
              </w:rPr>
              <w:t>协调性原则：标准要与相关的法律法规、标准规范相协调，避免出现矛盾和冲突。例如，在制定模机的安全性能要求时，要符合国家有关安全生产的法律法规；在规定模机的施工工艺和质量标准时，与现行的船闸工程施工及验收标准相衔接。</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 w:val="21"/>
                <w:szCs w:val="21"/>
                <w:lang w:val="en-US" w:eastAsia="zh-CN" w:bidi="ar-SA"/>
              </w:rPr>
              <w:t>（4）</w:t>
            </w:r>
            <w:r>
              <w:rPr>
                <w:rFonts w:hint="default" w:ascii="Times New Roman" w:hAnsi="Times New Roman" w:eastAsia="宋体" w:cs="Times New Roman"/>
                <w:kern w:val="0"/>
                <w:sz w:val="21"/>
                <w:szCs w:val="21"/>
                <w:lang w:val="en-US" w:eastAsia="zh-CN" w:bidi="ar-SA"/>
              </w:rPr>
              <w:t>先进性原则：标准要具有一定的前瞻性，能够反映装配式智能移动模机技术的发展趋势和先进水平。例如，在标准中可以适当引入一些</w:t>
            </w:r>
            <w:r>
              <w:rPr>
                <w:rFonts w:hint="default" w:ascii="Times New Roman" w:hAnsi="Times New Roman" w:cs="Times New Roman"/>
                <w:kern w:val="0"/>
                <w:sz w:val="21"/>
                <w:szCs w:val="21"/>
                <w:lang w:val="en-US" w:eastAsia="zh-CN" w:bidi="ar-SA"/>
              </w:rPr>
              <w:t>闸室整体浇筑、智能控制、监测等新技术</w:t>
            </w:r>
            <w:r>
              <w:rPr>
                <w:rFonts w:hint="default" w:ascii="Times New Roman" w:hAnsi="Times New Roman" w:eastAsia="宋体" w:cs="Times New Roman"/>
                <w:kern w:val="0"/>
                <w:sz w:val="21"/>
                <w:szCs w:val="21"/>
                <w:lang w:val="en-US" w:eastAsia="zh-CN" w:bidi="ar-SA"/>
              </w:rPr>
              <w:t>，推动行业的技术进步；同时，要鼓励企业进行技术创新和管理创新，提高模机的智能化水平和施工效率。</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 w:val="21"/>
                <w:szCs w:val="21"/>
                <w:lang w:val="en-US" w:eastAsia="zh-CN" w:bidi="ar-SA"/>
              </w:rPr>
              <w:t>（5）</w:t>
            </w:r>
            <w:r>
              <w:rPr>
                <w:rFonts w:hint="default" w:ascii="Times New Roman" w:hAnsi="Times New Roman" w:eastAsia="宋体" w:cs="Times New Roman"/>
                <w:kern w:val="0"/>
                <w:sz w:val="21"/>
                <w:szCs w:val="21"/>
                <w:lang w:val="en-US" w:eastAsia="zh-CN" w:bidi="ar-SA"/>
              </w:rPr>
              <w:t>可操作性原则：标准的内容要具体明确，具有可操作性。对于模机的安装、调试、使用、维护等各个环节的技术要求和操作方法，要进行详细的规定，以便施工人员能够按照标准进行操作；同时，制定相应的验收标准，确保模机的施工质量和安全性能。</w:t>
            </w:r>
          </w:p>
          <w:p>
            <w:pPr>
              <w:pStyle w:val="28"/>
              <w:adjustRightInd w:val="0"/>
              <w:spacing w:line="360" w:lineRule="auto"/>
              <w:ind w:left="0" w:leftChars="0" w:firstLine="0" w:firstLineChars="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2.依据：</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 w:val="21"/>
                <w:szCs w:val="21"/>
                <w:lang w:val="en-US" w:eastAsia="zh-CN" w:bidi="ar-SA"/>
              </w:rPr>
              <w:t>（1）</w:t>
            </w:r>
            <w:r>
              <w:rPr>
                <w:rFonts w:hint="default" w:ascii="Times New Roman" w:hAnsi="Times New Roman" w:eastAsia="宋体" w:cs="Times New Roman"/>
                <w:kern w:val="0"/>
                <w:sz w:val="21"/>
                <w:szCs w:val="21"/>
                <w:lang w:val="en-US" w:eastAsia="zh-CN" w:bidi="ar-SA"/>
              </w:rPr>
              <w:t>实践经验：总结</w:t>
            </w:r>
            <w:r>
              <w:rPr>
                <w:rFonts w:hint="default" w:ascii="Times New Roman" w:hAnsi="Times New Roman" w:cs="Times New Roman"/>
                <w:kern w:val="0"/>
                <w:sz w:val="21"/>
                <w:szCs w:val="21"/>
                <w:lang w:val="en-US" w:eastAsia="zh-CN" w:bidi="ar-SA"/>
              </w:rPr>
              <w:t>了引江济淮派河口船闸、新汴河灵璧船闸等</w:t>
            </w:r>
            <w:r>
              <w:rPr>
                <w:rFonts w:hint="default" w:ascii="Times New Roman" w:hAnsi="Times New Roman" w:eastAsia="宋体" w:cs="Times New Roman"/>
                <w:kern w:val="0"/>
                <w:sz w:val="21"/>
                <w:szCs w:val="21"/>
                <w:lang w:val="en-US" w:eastAsia="zh-CN" w:bidi="ar-SA"/>
              </w:rPr>
              <w:t>船闸闸室施工中使用装配式智能移动模机的经验，包括模机的选型、安装、调试、使用、维护等方面的问题和解决方案。</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 w:val="21"/>
                <w:szCs w:val="21"/>
                <w:lang w:val="en-US" w:eastAsia="zh-CN" w:bidi="ar-SA"/>
              </w:rPr>
              <w:t>（2）</w:t>
            </w:r>
            <w:r>
              <w:rPr>
                <w:rFonts w:hint="default" w:ascii="Times New Roman" w:hAnsi="Times New Roman" w:eastAsia="宋体" w:cs="Times New Roman"/>
                <w:kern w:val="0"/>
                <w:sz w:val="21"/>
                <w:szCs w:val="21"/>
                <w:lang w:val="en-US" w:eastAsia="zh-CN" w:bidi="ar-SA"/>
              </w:rPr>
              <w:t>技术研究：参考相关的技术研究成果，包括装配式智能移动模机的设计理论、制造工艺、施工技术等方面的研究论文、专利文献等。</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 w:val="21"/>
                <w:szCs w:val="21"/>
                <w:lang w:val="en-US" w:eastAsia="zh-CN" w:bidi="ar-SA"/>
              </w:rPr>
              <w:t>（3）</w:t>
            </w:r>
            <w:r>
              <w:rPr>
                <w:rFonts w:hint="default" w:ascii="Times New Roman" w:hAnsi="Times New Roman" w:eastAsia="宋体" w:cs="Times New Roman"/>
                <w:kern w:val="0"/>
                <w:sz w:val="21"/>
                <w:szCs w:val="21"/>
                <w:lang w:val="en-US" w:eastAsia="zh-CN" w:bidi="ar-SA"/>
              </w:rPr>
              <w:t>相关法律法规：遵守国家和地方有关工程建设、安全生产、环境保护等方面的法律法规。</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 w:val="21"/>
                <w:szCs w:val="21"/>
                <w:lang w:val="en-US" w:eastAsia="zh-CN" w:bidi="ar-SA"/>
              </w:rPr>
              <w:t>（4）</w:t>
            </w:r>
            <w:r>
              <w:rPr>
                <w:rFonts w:hint="default" w:ascii="Times New Roman" w:hAnsi="Times New Roman" w:eastAsia="宋体" w:cs="Times New Roman"/>
                <w:kern w:val="0"/>
                <w:sz w:val="21"/>
                <w:szCs w:val="21"/>
                <w:lang w:val="en-US" w:eastAsia="zh-CN" w:bidi="ar-SA"/>
              </w:rPr>
              <w:t>行业标准和规范：参考现行的船闸工程施工及验收标准、机械制造标准、电气安全标准等相关行业标准和规范。</w:t>
            </w:r>
          </w:p>
          <w:p>
            <w:pPr>
              <w:pStyle w:val="28"/>
              <w:adjustRightInd w:val="0"/>
              <w:spacing w:line="360" w:lineRule="auto"/>
              <w:ind w:left="0" w:leftChars="0" w:firstLine="0" w:firstLineChars="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 w:val="21"/>
                <w:szCs w:val="21"/>
                <w:lang w:val="en-US" w:eastAsia="zh-CN" w:bidi="ar-SA"/>
              </w:rPr>
              <w:t>3.</w:t>
            </w:r>
            <w:r>
              <w:rPr>
                <w:rFonts w:hint="default" w:ascii="Times New Roman" w:hAnsi="Times New Roman" w:cs="Times New Roman"/>
                <w:szCs w:val="21"/>
              </w:rPr>
              <w:t>与</w:t>
            </w:r>
            <w:r>
              <w:rPr>
                <w:rFonts w:hint="default" w:ascii="Times New Roman" w:hAnsi="Times New Roman" w:eastAsia="宋体" w:cs="Times New Roman"/>
                <w:kern w:val="0"/>
                <w:sz w:val="21"/>
                <w:szCs w:val="21"/>
                <w:lang w:val="en-US" w:eastAsia="zh-CN" w:bidi="ar-SA"/>
              </w:rPr>
              <w:t>现行法律法规、标准的关系</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 w:val="21"/>
                <w:szCs w:val="21"/>
                <w:lang w:val="en-US" w:eastAsia="zh-CN" w:bidi="ar-SA"/>
              </w:rPr>
              <w:t>（1）</w:t>
            </w:r>
            <w:r>
              <w:rPr>
                <w:rFonts w:hint="default" w:ascii="Times New Roman" w:hAnsi="Times New Roman" w:eastAsia="宋体" w:cs="Times New Roman"/>
                <w:kern w:val="0"/>
                <w:sz w:val="21"/>
                <w:szCs w:val="21"/>
                <w:lang w:val="en-US" w:eastAsia="zh-CN" w:bidi="ar-SA"/>
              </w:rPr>
              <w:t>遵循法律法规：该技术规程的制定必须严格遵循国家和地方有关工程建设、安全生产、环境保护等方面的法律法规。例如，在安全生产方面，要确保模机的使用符合《公路水运危险性较大工程专项施工方案编制审查规程》（JT/T1495）的要求，保障施工人员的生命安全和身体健康。</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2）与相关标准协调统一：与现行的船闸工程施工及验收标准、机械制造标准、电气安全标准等相关行业标准和规范相协调统一。在技术要求、质量标准、检验方法等方面，要与相关标准保持一致或相互衔接，避免出现矛盾和冲突。例如，在模机的制造质量标准方面，要符合机械制造标准的要求；在模机的施工质量验收方面，要与船闸工程施工及验收标准相衔接。</w:t>
            </w:r>
          </w:p>
          <w:p>
            <w:pPr>
              <w:pStyle w:val="28"/>
              <w:adjustRightInd w:val="0"/>
              <w:spacing w:line="360" w:lineRule="auto"/>
              <w:ind w:firstLine="420" w:firstLineChars="200"/>
              <w:contextualSpacing/>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kern w:val="0"/>
                <w:sz w:val="21"/>
                <w:szCs w:val="21"/>
                <w:lang w:val="en-US" w:eastAsia="zh-CN" w:bidi="ar-SA"/>
              </w:rPr>
              <w:t>（3）</w:t>
            </w:r>
            <w:r>
              <w:rPr>
                <w:rFonts w:hint="default" w:ascii="Times New Roman" w:hAnsi="Times New Roman" w:eastAsia="宋体" w:cs="Times New Roman"/>
                <w:kern w:val="0"/>
                <w:sz w:val="21"/>
                <w:szCs w:val="21"/>
                <w:lang w:val="en-US" w:eastAsia="zh-CN" w:bidi="ar-SA"/>
              </w:rPr>
              <w:t>对现有标准的补充和完善：该技术规程是对现有标准体系的补充和完善。随着装配式智能移动模机技术的不断发展和应用，现有的标准可能无法完全满足实际需求</w:t>
            </w:r>
            <w:r>
              <w:rPr>
                <w:rFonts w:hint="default" w:ascii="Times New Roman" w:hAnsi="Times New Roman" w:cs="Times New Roman"/>
                <w:kern w:val="0"/>
                <w:sz w:val="21"/>
                <w:szCs w:val="21"/>
                <w:lang w:val="en-US" w:eastAsia="zh-CN" w:bidi="ar-SA"/>
              </w:rPr>
              <w:t>，</w:t>
            </w:r>
            <w:r>
              <w:rPr>
                <w:rFonts w:hint="default" w:ascii="Times New Roman" w:hAnsi="Times New Roman" w:eastAsia="宋体" w:cs="Times New Roman"/>
                <w:kern w:val="0"/>
                <w:sz w:val="21"/>
                <w:szCs w:val="21"/>
                <w:lang w:val="en-US" w:eastAsia="zh-CN" w:bidi="ar-SA"/>
              </w:rPr>
              <w:t>因此，制定该技术规程可以针对装配式智能移动模机的特点和应用需求，对现有标准进行补充和细化，提高标准的适用性和针对性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adjustRightInd w:val="0"/>
              <w:spacing w:line="360" w:lineRule="auto"/>
              <w:ind w:firstLine="0" w:firstLineChars="0"/>
              <w:contextualSpacing/>
              <w:rPr>
                <w:rFonts w:hint="default" w:ascii="Times New Roman" w:hAnsi="Times New Roman" w:cs="Times New Roman"/>
                <w:szCs w:val="21"/>
              </w:rPr>
            </w:pPr>
            <w:r>
              <w:rPr>
                <w:rFonts w:hint="default" w:ascii="Times New Roman" w:hAnsi="Times New Roman" w:cs="Times New Roman"/>
                <w:szCs w:val="21"/>
              </w:rPr>
              <w:t>4、主要条款的说明，主要技术指标、参数、试验验证的论述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adjustRightInd w:val="0"/>
              <w:spacing w:line="400" w:lineRule="atLeast"/>
              <w:ind w:firstLine="0" w:firstLineChars="0"/>
              <w:contextualSpacing/>
              <w:rPr>
                <w:rFonts w:hint="default" w:ascii="Times New Roman" w:hAnsi="Times New Roman" w:cs="Times New Roman"/>
                <w:b/>
                <w:szCs w:val="21"/>
              </w:rPr>
            </w:pPr>
            <w:r>
              <w:rPr>
                <w:rFonts w:hint="default" w:ascii="Times New Roman" w:hAnsi="Times New Roman" w:cs="Times New Roman"/>
                <w:b/>
                <w:szCs w:val="21"/>
              </w:rPr>
              <w:t>主要条款：</w:t>
            </w:r>
          </w:p>
          <w:p>
            <w:pPr>
              <w:pStyle w:val="28"/>
              <w:adjustRightInd w:val="0"/>
              <w:spacing w:line="400" w:lineRule="atLeast"/>
              <w:ind w:firstLine="420" w:firstLineChars="200"/>
              <w:contextualSpacing/>
              <w:rPr>
                <w:rFonts w:hint="default" w:ascii="Times New Roman" w:hAnsi="Times New Roman" w:cs="Times New Roman"/>
                <w:color w:val="FF0000"/>
                <w:szCs w:val="21"/>
              </w:rPr>
            </w:pPr>
            <w:r>
              <w:rPr>
                <w:rFonts w:hint="default" w:ascii="Times New Roman" w:hAnsi="Times New Roman" w:cs="Times New Roman"/>
                <w:szCs w:val="21"/>
              </w:rPr>
              <w:t>本标准的章节由：范围、规范性引用文件、术语和定义、</w:t>
            </w:r>
            <w:r>
              <w:rPr>
                <w:rFonts w:hint="default" w:ascii="Times New Roman" w:hAnsi="Times New Roman" w:cs="Times New Roman"/>
                <w:szCs w:val="21"/>
                <w:lang w:eastAsia="zh-CN"/>
              </w:rPr>
              <w:t>基本规定</w:t>
            </w:r>
            <w:r>
              <w:rPr>
                <w:rFonts w:hint="default" w:ascii="Times New Roman" w:hAnsi="Times New Roman" w:cs="Times New Roman"/>
                <w:szCs w:val="21"/>
              </w:rPr>
              <w:t>、</w:t>
            </w:r>
            <w:r>
              <w:rPr>
                <w:rFonts w:hint="default" w:ascii="Times New Roman" w:hAnsi="Times New Roman" w:cs="Times New Roman"/>
                <w:szCs w:val="21"/>
                <w:lang w:eastAsia="zh-CN"/>
              </w:rPr>
              <w:t>模机设计、模机制造与安装、模机调试与验收、现场运行、智能控制与监测、模机拆卸、安全管理</w:t>
            </w:r>
            <w:r>
              <w:rPr>
                <w:rFonts w:hint="default" w:ascii="Times New Roman" w:hAnsi="Times New Roman" w:cs="Times New Roman"/>
                <w:szCs w:val="21"/>
              </w:rPr>
              <w:t>组成。</w:t>
            </w:r>
          </w:p>
          <w:p>
            <w:pPr>
              <w:pStyle w:val="28"/>
              <w:adjustRightInd w:val="0"/>
              <w:spacing w:line="400" w:lineRule="atLeast"/>
              <w:ind w:firstLine="0" w:firstLineChars="0"/>
              <w:contextualSpacing/>
              <w:rPr>
                <w:rFonts w:hint="default" w:ascii="Times New Roman" w:hAnsi="Times New Roman" w:cs="Times New Roman"/>
                <w:b/>
                <w:color w:val="auto"/>
                <w:szCs w:val="21"/>
              </w:rPr>
            </w:pPr>
            <w:r>
              <w:rPr>
                <w:rFonts w:hint="default" w:ascii="Times New Roman" w:hAnsi="Times New Roman" w:cs="Times New Roman"/>
                <w:b/>
                <w:color w:val="auto"/>
                <w:szCs w:val="21"/>
              </w:rPr>
              <w:t>主要技术指标、参数：</w:t>
            </w:r>
          </w:p>
          <w:p>
            <w:pPr>
              <w:pStyle w:val="28"/>
              <w:adjustRightInd w:val="0"/>
              <w:spacing w:line="400" w:lineRule="atLeast"/>
              <w:ind w:firstLine="0" w:firstLineChars="0"/>
              <w:contextualSpacing/>
              <w:rPr>
                <w:rFonts w:hint="default" w:ascii="Times New Roman" w:hAnsi="Times New Roman" w:cs="Times New Roman"/>
                <w:b/>
                <w:color w:val="FF0000"/>
                <w:szCs w:val="21"/>
              </w:rPr>
            </w:pPr>
            <w:r>
              <w:rPr>
                <w:rFonts w:hint="default" w:ascii="Times New Roman" w:hAnsi="Times New Roman" w:cs="Times New Roman"/>
                <w:szCs w:val="21"/>
                <w:lang w:val="en-US" w:eastAsia="zh-CN"/>
              </w:rPr>
              <w:t>1.</w:t>
            </w:r>
            <w:r>
              <w:rPr>
                <w:rFonts w:hint="default" w:ascii="Times New Roman" w:hAnsi="Times New Roman" w:cs="Times New Roman"/>
                <w:szCs w:val="21"/>
                <w:lang w:eastAsia="zh-CN"/>
              </w:rPr>
              <w:t>模机设计</w:t>
            </w:r>
          </w:p>
          <w:p>
            <w:pPr>
              <w:pStyle w:val="39"/>
              <w:ind w:firstLine="420" w:firstLineChars="200"/>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）模机支撑系统中</w:t>
            </w:r>
            <w:r>
              <w:rPr>
                <w:rFonts w:hint="default" w:ascii="Times New Roman" w:hAnsi="Times New Roman" w:cs="Times New Roman"/>
              </w:rPr>
              <w:t>支撑结构的计算方法、强度、刚度及稳定性应符合《钢结构设计标准》GB50017的规定。</w:t>
            </w:r>
          </w:p>
          <w:p>
            <w:pPr>
              <w:pStyle w:val="39"/>
              <w:ind w:firstLine="420" w:firstLineChars="200"/>
              <w:rPr>
                <w:rFonts w:hint="default" w:ascii="Times New Roman" w:hAnsi="Times New Roman" w:cs="Times New Roman"/>
              </w:rPr>
            </w:pPr>
            <w:r>
              <w:rPr>
                <w:rFonts w:hint="default" w:ascii="Times New Roman" w:hAnsi="Times New Roman" w:cs="Times New Roman"/>
                <w:lang w:val="en-US" w:eastAsia="zh-CN"/>
              </w:rPr>
              <w:t>（2）</w:t>
            </w:r>
            <w:r>
              <w:rPr>
                <w:rFonts w:hint="default" w:ascii="Times New Roman" w:hAnsi="Times New Roman" w:cs="Times New Roman"/>
                <w:lang w:eastAsia="zh-CN"/>
              </w:rPr>
              <w:t>模机</w:t>
            </w:r>
            <w:r>
              <w:rPr>
                <w:rFonts w:hint="default" w:ascii="Times New Roman" w:hAnsi="Times New Roman" w:cs="Times New Roman"/>
              </w:rPr>
              <w:t>悬吊系统宜采用电动起吊装置，悬吊梁应进行强度、稳定性和刚性计算，应符合《起重机设计规范》GB/T3811的规定。电动起吊装置额定起重量应不小于吊装大模板重量的1.25倍。</w:t>
            </w:r>
          </w:p>
          <w:p>
            <w:pPr>
              <w:pStyle w:val="39"/>
              <w:ind w:firstLine="420" w:firstLineChars="200"/>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eastAsia="zh-CN"/>
              </w:rPr>
              <w:t>）模机行走系统中</w:t>
            </w:r>
            <w:r>
              <w:rPr>
                <w:rFonts w:hint="default" w:ascii="Times New Roman" w:hAnsi="Times New Roman" w:cs="Times New Roman"/>
              </w:rPr>
              <w:t>行走轨道宜采用钢轨，支点间轨道的变形量应不大于2mm。</w:t>
            </w:r>
            <w:r>
              <w:rPr>
                <w:rFonts w:hint="default" w:ascii="Times New Roman" w:hAnsi="Times New Roman" w:cs="Times New Roman"/>
                <w:lang w:eastAsia="zh-CN"/>
              </w:rPr>
              <w:t>；</w:t>
            </w:r>
            <w:r>
              <w:rPr>
                <w:rFonts w:hint="default" w:ascii="Times New Roman" w:hAnsi="Times New Roman" w:cs="Times New Roman"/>
              </w:rPr>
              <w:t>行走装置应采用四轮驱动，行走平稳，行走速度应小于10m/min。</w:t>
            </w:r>
          </w:p>
          <w:p>
            <w:pPr>
              <w:pStyle w:val="28"/>
              <w:adjustRightInd w:val="0"/>
              <w:spacing w:line="400" w:lineRule="atLeast"/>
              <w:ind w:firstLine="0" w:firstLineChars="0"/>
              <w:contextualSpacing/>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2.模机制造与安装</w:t>
            </w:r>
          </w:p>
          <w:p>
            <w:pPr>
              <w:pStyle w:val="39"/>
              <w:ind w:firstLine="420" w:firstLineChars="200"/>
              <w:rPr>
                <w:rFonts w:hint="default" w:ascii="Times New Roman" w:hAnsi="Times New Roman" w:cs="Times New Roman"/>
              </w:rPr>
            </w:pPr>
            <w:r>
              <w:rPr>
                <w:rFonts w:hint="default" w:ascii="Times New Roman" w:hAnsi="Times New Roman" w:cs="Times New Roman"/>
              </w:rPr>
              <w:t>模机轨道安装应固定可靠，轨面平顺，中心线偏差小于5mm；两平行钢轨间距、顶面高程应一致，轨道接头位置应错开。</w:t>
            </w:r>
          </w:p>
          <w:p>
            <w:pPr>
              <w:pStyle w:val="28"/>
              <w:adjustRightInd w:val="0"/>
              <w:spacing w:line="400" w:lineRule="atLeast"/>
              <w:ind w:firstLine="0" w:firstLineChars="0"/>
              <w:contextualSpacing/>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3.模机调试及验收</w:t>
            </w:r>
          </w:p>
          <w:p>
            <w:pPr>
              <w:widowControl/>
              <w:ind w:firstLine="420"/>
              <w:jc w:val="left"/>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静负荷运转</w:t>
            </w:r>
            <w:r>
              <w:rPr>
                <w:rFonts w:hint="default" w:ascii="Times New Roman" w:hAnsi="Times New Roman" w:cs="Times New Roman"/>
                <w:lang w:eastAsia="zh-CN"/>
              </w:rPr>
              <w:t>。</w:t>
            </w:r>
            <w:r>
              <w:rPr>
                <w:rFonts w:hint="default" w:ascii="Times New Roman" w:hAnsi="Times New Roman" w:cs="Times New Roman"/>
              </w:rPr>
              <w:t>承载试验：将重量达到设计荷载的75%、90%、100%；每次均上下、前后运行</w:t>
            </w:r>
            <w:r>
              <w:rPr>
                <w:rFonts w:hint="default" w:ascii="Times New Roman" w:hAnsi="Times New Roman" w:cs="Times New Roman"/>
                <w:lang w:eastAsia="zh-CN"/>
              </w:rPr>
              <w:t>三</w:t>
            </w:r>
            <w:r>
              <w:rPr>
                <w:rFonts w:hint="default" w:ascii="Times New Roman" w:hAnsi="Times New Roman" w:cs="Times New Roman"/>
              </w:rPr>
              <w:t>次。超载试验：将重量达到设计荷载的125%，离地200mm，悬吊10分钟，反复三次。</w:t>
            </w:r>
          </w:p>
          <w:p>
            <w:pPr>
              <w:pStyle w:val="28"/>
              <w:adjustRightInd w:val="0"/>
              <w:spacing w:line="400" w:lineRule="atLeast"/>
              <w:ind w:firstLine="0" w:firstLineChars="0"/>
              <w:contextualSpacing/>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4.模机现场运行</w:t>
            </w:r>
          </w:p>
          <w:p>
            <w:pPr>
              <w:pStyle w:val="39"/>
              <w:ind w:firstLine="420" w:firstLineChars="200"/>
              <w:rPr>
                <w:rFonts w:hint="default" w:ascii="Times New Roman" w:hAnsi="Times New Roman" w:eastAsia="宋体" w:cs="Times New Roman"/>
                <w:szCs w:val="21"/>
                <w:lang w:val="en-US" w:eastAsia="zh-CN"/>
              </w:rPr>
            </w:pPr>
            <w:r>
              <w:rPr>
                <w:rFonts w:hint="default" w:ascii="Times New Roman" w:hAnsi="Times New Roman" w:eastAsia="宋体" w:cs="Times New Roman"/>
                <w:kern w:val="2"/>
                <w:sz w:val="21"/>
                <w:szCs w:val="21"/>
                <w:lang w:val="en-US" w:eastAsia="zh-CN" w:bidi="ar-SA"/>
              </w:rPr>
              <w:t>（1）混凝土浇筑、振捣。混凝土应水平分层浇筑，分层浇筑厚度不宜超过30cm。混凝土自由倾落高度大于2 m时应布置串筒，自</w:t>
            </w:r>
            <w:r>
              <w:rPr>
                <w:rFonts w:hint="default" w:ascii="Times New Roman" w:hAnsi="Times New Roman" w:cs="Times New Roman"/>
              </w:rPr>
              <w:t>由倾落高度大于10m时，应设置减速装置。</w:t>
            </w:r>
          </w:p>
          <w:p>
            <w:pPr>
              <w:pStyle w:val="28"/>
              <w:adjustRightInd w:val="0"/>
              <w:spacing w:line="400" w:lineRule="atLeast"/>
              <w:ind w:firstLine="420" w:firstLineChars="200"/>
              <w:contextualSpacing/>
              <w:rPr>
                <w:rFonts w:hint="default" w:ascii="Times New Roman" w:hAnsi="Times New Roman" w:cs="Times New Roman"/>
              </w:rPr>
            </w:pPr>
            <w:r>
              <w:rPr>
                <w:rFonts w:hint="default" w:ascii="Times New Roman" w:hAnsi="Times New Roman" w:cs="Times New Roman"/>
                <w:szCs w:val="21"/>
                <w:lang w:val="en-US" w:eastAsia="zh-CN"/>
              </w:rPr>
              <w:t>（2）模机脱模。模板应在混凝土强度达到2.5MPa，且能</w:t>
            </w:r>
            <w:r>
              <w:rPr>
                <w:rFonts w:hint="default" w:ascii="Times New Roman" w:hAnsi="Times New Roman" w:cs="Times New Roman"/>
              </w:rPr>
              <w:t>保证其表面及</w:t>
            </w:r>
            <w:r>
              <w:rPr>
                <w:rFonts w:hint="default" w:ascii="Times New Roman" w:hAnsi="Times New Roman" w:cs="Times New Roman"/>
                <w:lang w:eastAsia="zh-CN"/>
              </w:rPr>
              <w:t>棱</w:t>
            </w:r>
            <w:r>
              <w:rPr>
                <w:rFonts w:hint="default" w:ascii="Times New Roman" w:hAnsi="Times New Roman" w:cs="Times New Roman"/>
              </w:rPr>
              <w:t>角不致因拆模而损坏时方可脱离。</w:t>
            </w:r>
          </w:p>
          <w:p>
            <w:pPr>
              <w:pStyle w:val="28"/>
              <w:adjustRightInd w:val="0"/>
              <w:spacing w:line="400" w:lineRule="atLeast"/>
              <w:ind w:firstLine="420" w:firstLineChars="200"/>
              <w:contextualSpacing/>
              <w:rPr>
                <w:rFonts w:hint="default" w:ascii="Times New Roman" w:hAnsi="Times New Roman" w:cs="Times New Roman"/>
                <w:szCs w:val="21"/>
              </w:rPr>
            </w:pP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eastAsia="zh-CN"/>
              </w:rPr>
              <w:t>）模机行走。</w:t>
            </w:r>
            <w:r>
              <w:rPr>
                <w:rFonts w:hint="default" w:ascii="Times New Roman" w:hAnsi="Times New Roman" w:cs="Times New Roman"/>
              </w:rPr>
              <w:t>模机行走前，迎土面模板应与模机固定，模板吊装离地高度宜低于1m；模机行走时，迎土面模板宜牵引辅助，不得碰撞闸室墙成品。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adjustRightInd w:val="0"/>
              <w:spacing w:line="360" w:lineRule="auto"/>
              <w:ind w:firstLine="0" w:firstLineChars="0"/>
              <w:contextualSpacing/>
              <w:rPr>
                <w:rFonts w:hAnsi="宋体"/>
                <w:szCs w:val="21"/>
              </w:rPr>
            </w:pPr>
            <w:bookmarkStart w:id="0" w:name="_Toc464905809"/>
            <w:bookmarkStart w:id="1" w:name="_Toc465074266"/>
            <w:bookmarkStart w:id="2" w:name="_Toc464902852"/>
            <w:bookmarkStart w:id="3" w:name="_Toc464905613"/>
            <w:bookmarkStart w:id="4" w:name="_Toc464905557"/>
            <w:r>
              <w:rPr>
                <w:rFonts w:hint="eastAsia" w:hAnsi="宋体"/>
                <w:szCs w:val="21"/>
              </w:rPr>
              <w:t>5、标准中如果涉及专利，应有明确的知识产权说明</w:t>
            </w:r>
            <w:bookmarkEnd w:id="0"/>
            <w:bookmarkEnd w:id="1"/>
            <w:bookmarkEnd w:id="2"/>
            <w:bookmarkEnd w:id="3"/>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contextualSpacing/>
              <w:textAlignment w:val="auto"/>
              <w:rPr>
                <w:rFonts w:hAnsi="宋体"/>
                <w:szCs w:val="21"/>
              </w:rPr>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adjustRightInd w:val="0"/>
              <w:spacing w:line="360" w:lineRule="auto"/>
              <w:ind w:firstLine="0" w:firstLineChars="0"/>
              <w:contextualSpacing/>
              <w:rPr>
                <w:rFonts w:hAnsi="宋体"/>
                <w:szCs w:val="21"/>
              </w:rPr>
            </w:pPr>
            <w:bookmarkStart w:id="5" w:name="_Toc464905614"/>
            <w:bookmarkStart w:id="6" w:name="_Toc464902853"/>
            <w:bookmarkStart w:id="7" w:name="_Toc465074267"/>
            <w:bookmarkStart w:id="8" w:name="_Toc464905810"/>
            <w:bookmarkStart w:id="9" w:name="_Toc464905558"/>
            <w:r>
              <w:rPr>
                <w:rFonts w:hint="eastAsia" w:hAnsi="宋体"/>
                <w:szCs w:val="21"/>
              </w:rPr>
              <w:t>6、采用国际标准或国外先进标准的，说明采标程度，以及国内外同类标准水平的对比情况</w:t>
            </w:r>
            <w:bookmarkEnd w:id="5"/>
            <w:bookmarkEnd w:id="6"/>
            <w:bookmarkEnd w:id="7"/>
            <w:bookmarkEnd w:id="8"/>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contextualSpacing/>
              <w:textAlignment w:val="auto"/>
              <w:rPr>
                <w:rFonts w:hAnsi="宋体"/>
                <w:szCs w:val="21"/>
              </w:rPr>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adjustRightInd w:val="0"/>
              <w:spacing w:line="360" w:lineRule="auto"/>
              <w:ind w:firstLine="0" w:firstLineChars="0"/>
              <w:contextualSpacing/>
              <w:rPr>
                <w:rFonts w:hAnsi="宋体"/>
                <w:szCs w:val="21"/>
              </w:rPr>
            </w:pPr>
            <w:bookmarkStart w:id="10" w:name="_Toc464905615"/>
            <w:bookmarkStart w:id="11" w:name="_Toc465074268"/>
            <w:bookmarkStart w:id="12" w:name="_Toc464905559"/>
            <w:bookmarkStart w:id="13" w:name="_Toc464902854"/>
            <w:bookmarkStart w:id="14" w:name="_Toc464905811"/>
            <w:r>
              <w:rPr>
                <w:rFonts w:hint="eastAsia" w:hAnsi="宋体"/>
                <w:szCs w:val="21"/>
              </w:rPr>
              <w:t>7、重大分歧意见的处理经过和依据</w:t>
            </w:r>
            <w:bookmarkEnd w:id="10"/>
            <w:bookmarkEnd w:id="11"/>
            <w:bookmarkEnd w:id="12"/>
            <w:bookmarkEnd w:id="13"/>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9570" w:type="dxa"/>
            <w:gridSpan w:val="6"/>
            <w:vAlign w:val="center"/>
          </w:tcPr>
          <w:p>
            <w:pPr>
              <w:pStyle w:val="28"/>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contextualSpacing/>
              <w:textAlignment w:val="auto"/>
              <w:rPr>
                <w:rFonts w:hAnsi="宋体"/>
                <w:szCs w:val="21"/>
              </w:rPr>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adjustRightInd w:val="0"/>
              <w:spacing w:line="360" w:lineRule="auto"/>
              <w:ind w:firstLine="0" w:firstLineChars="0"/>
              <w:contextualSpacing/>
              <w:rPr>
                <w:rFonts w:hAnsi="宋体"/>
                <w:szCs w:val="21"/>
              </w:rPr>
            </w:pPr>
            <w:bookmarkStart w:id="15" w:name="_Toc464905812"/>
            <w:bookmarkStart w:id="16" w:name="_Toc464905560"/>
            <w:bookmarkStart w:id="17" w:name="_Toc464902855"/>
            <w:bookmarkStart w:id="18" w:name="_Toc464905616"/>
            <w:bookmarkStart w:id="19" w:name="_Toc465074269"/>
            <w:r>
              <w:rPr>
                <w:rFonts w:hint="eastAsia" w:hAnsi="宋体"/>
                <w:szCs w:val="21"/>
              </w:rPr>
              <w:t>8、贯彻标准的要求和措施建议（包括组织措施、技术措施、过渡办法、实施日期等）</w:t>
            </w:r>
            <w:bookmarkEnd w:id="15"/>
            <w:bookmarkEnd w:id="16"/>
            <w:bookmarkEnd w:id="17"/>
            <w:bookmarkEnd w:id="18"/>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contextualSpacing/>
              <w:textAlignment w:val="auto"/>
              <w:rPr>
                <w:rFonts w:hAnsi="宋体"/>
                <w:szCs w:val="21"/>
              </w:rPr>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adjustRightInd w:val="0"/>
              <w:spacing w:line="360" w:lineRule="auto"/>
              <w:ind w:firstLine="0" w:firstLineChars="0"/>
              <w:contextualSpacing/>
              <w:rPr>
                <w:rFonts w:hAnsi="宋体"/>
                <w:szCs w:val="21"/>
              </w:rPr>
            </w:pPr>
            <w:bookmarkStart w:id="20" w:name="_Toc464905617"/>
            <w:bookmarkStart w:id="21" w:name="_Toc464905561"/>
            <w:bookmarkStart w:id="22" w:name="_Toc464905813"/>
            <w:bookmarkStart w:id="23" w:name="_Toc464902856"/>
            <w:bookmarkStart w:id="24" w:name="_Toc465074270"/>
            <w:r>
              <w:rPr>
                <w:rFonts w:hint="eastAsia" w:hAnsi="宋体"/>
                <w:szCs w:val="21"/>
              </w:rPr>
              <w:t>9、废止现行相关标准的建议</w:t>
            </w:r>
            <w:bookmarkEnd w:id="20"/>
            <w:bookmarkEnd w:id="21"/>
            <w:bookmarkEnd w:id="22"/>
            <w:bookmarkEnd w:id="23"/>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9570" w:type="dxa"/>
            <w:gridSpan w:val="6"/>
            <w:vAlign w:val="center"/>
          </w:tcPr>
          <w:p>
            <w:pPr>
              <w:pStyle w:val="28"/>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contextualSpacing/>
              <w:textAlignment w:val="auto"/>
              <w:rPr>
                <w:rFonts w:hAnsi="宋体"/>
                <w:szCs w:val="21"/>
              </w:rPr>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adjustRightInd w:val="0"/>
              <w:spacing w:line="360" w:lineRule="auto"/>
              <w:ind w:firstLine="0" w:firstLineChars="0"/>
              <w:contextualSpacing/>
              <w:rPr>
                <w:rFonts w:hAnsi="宋体"/>
                <w:szCs w:val="21"/>
              </w:rPr>
            </w:pPr>
            <w:bookmarkStart w:id="25" w:name="_Toc464905618"/>
            <w:bookmarkStart w:id="26" w:name="_Toc464902857"/>
            <w:bookmarkStart w:id="27" w:name="_Toc464905562"/>
            <w:bookmarkStart w:id="28" w:name="_Toc464905814"/>
            <w:bookmarkStart w:id="29" w:name="_Toc465074271"/>
            <w:r>
              <w:rPr>
                <w:rFonts w:hint="eastAsia" w:hAnsi="宋体"/>
                <w:szCs w:val="21"/>
              </w:rPr>
              <w:t>10、其它应予说明的事项</w:t>
            </w:r>
            <w:bookmarkEnd w:id="25"/>
            <w:bookmarkEnd w:id="26"/>
            <w:bookmarkEnd w:id="27"/>
            <w:bookmarkEnd w:id="28"/>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28"/>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contextualSpacing/>
              <w:textAlignment w:val="auto"/>
              <w:rPr>
                <w:rFonts w:hAnsi="宋体"/>
                <w:szCs w:val="21"/>
              </w:rPr>
            </w:pPr>
            <w:r>
              <w:rPr>
                <w:rFonts w:hint="eastAsia"/>
              </w:rPr>
              <w:t>无</w:t>
            </w:r>
          </w:p>
        </w:tc>
      </w:tr>
      <w:bookmarkEnd w:id="30"/>
    </w:tbl>
    <w:p>
      <w:pPr>
        <w:pStyle w:val="23"/>
      </w:pPr>
      <w:r>
        <w:rPr>
          <w:rFonts w:hint="eastAsia"/>
        </w:rPr>
        <w:t>没有的请填写 “无”。</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fldChar w:fldCharType="begin"/>
    </w:r>
    <w:r>
      <w:instrText xml:space="preserve">PAGE   \* MERGEFORMAT</w:instrText>
    </w:r>
    <w:r>
      <w:fldChar w:fldCharType="separate"/>
    </w:r>
    <w:r>
      <w:rPr>
        <w:lang w:val="zh-CN"/>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2A8F7113"/>
    <w:multiLevelType w:val="multilevel"/>
    <w:tmpl w:val="2A8F7113"/>
    <w:lvl w:ilvl="0" w:tentative="0">
      <w:start w:val="1"/>
      <w:numFmt w:val="upperLetter"/>
      <w:pStyle w:val="30"/>
      <w:suff w:val="space"/>
      <w:lvlText w:val="%1"/>
      <w:lvlJc w:val="left"/>
      <w:pPr>
        <w:ind w:left="623" w:hanging="425"/>
      </w:pPr>
      <w:rPr>
        <w:rFonts w:hint="eastAsia"/>
      </w:rPr>
    </w:lvl>
    <w:lvl w:ilvl="1" w:tentative="0">
      <w:start w:val="1"/>
      <w:numFmt w:val="decimal"/>
      <w:pStyle w:val="3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2">
    <w:nsid w:val="48802D1C"/>
    <w:multiLevelType w:val="multilevel"/>
    <w:tmpl w:val="48802D1C"/>
    <w:lvl w:ilvl="0" w:tentative="0">
      <w:start w:val="1"/>
      <w:numFmt w:val="upperLetter"/>
      <w:pStyle w:val="26"/>
      <w:lvlText w:val="%1"/>
      <w:lvlJc w:val="left"/>
      <w:pPr>
        <w:ind w:left="420" w:hanging="420"/>
      </w:pPr>
      <w:rPr>
        <w:rFonts w:hint="eastAsia"/>
      </w:rPr>
    </w:lvl>
    <w:lvl w:ilvl="1" w:tentative="0">
      <w:start w:val="1"/>
      <w:numFmt w:val="decimal"/>
      <w:pStyle w:val="21"/>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603797C"/>
    <w:multiLevelType w:val="multilevel"/>
    <w:tmpl w:val="5603797C"/>
    <w:lvl w:ilvl="0" w:tentative="0">
      <w:start w:val="1"/>
      <w:numFmt w:val="upperLetter"/>
      <w:pStyle w:val="27"/>
      <w:suff w:val="space"/>
      <w:lvlText w:val="%1"/>
      <w:lvlJc w:val="left"/>
      <w:pPr>
        <w:ind w:left="425" w:hanging="425"/>
      </w:pPr>
      <w:rPr>
        <w:rFonts w:hint="eastAsia"/>
      </w:rPr>
    </w:lvl>
    <w:lvl w:ilvl="1" w:tentative="0">
      <w:start w:val="1"/>
      <w:numFmt w:val="decimal"/>
      <w:pStyle w:val="16"/>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60B55DC2"/>
    <w:multiLevelType w:val="multilevel"/>
    <w:tmpl w:val="60B55DC2"/>
    <w:lvl w:ilvl="0" w:tentative="0">
      <w:start w:val="1"/>
      <w:numFmt w:val="upperLetter"/>
      <w:pStyle w:val="34"/>
      <w:lvlText w:val="%1"/>
      <w:lvlJc w:val="left"/>
      <w:pPr>
        <w:tabs>
          <w:tab w:val="left" w:pos="0"/>
        </w:tabs>
        <w:ind w:left="0" w:hanging="425"/>
      </w:pPr>
      <w:rPr>
        <w:rFonts w:hint="eastAsia"/>
      </w:rPr>
    </w:lvl>
    <w:lvl w:ilvl="1" w:tentative="0">
      <w:start w:val="1"/>
      <w:numFmt w:val="decimal"/>
      <w:pStyle w:val="3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5">
    <w:nsid w:val="657D3FBC"/>
    <w:multiLevelType w:val="multilevel"/>
    <w:tmpl w:val="657D3FBC"/>
    <w:lvl w:ilvl="0" w:tentative="0">
      <w:start w:val="1"/>
      <w:numFmt w:val="upperLetter"/>
      <w:pStyle w:val="15"/>
      <w:suff w:val="nothing"/>
      <w:lvlText w:val="附录%1"/>
      <w:lvlJc w:val="left"/>
      <w:pPr>
        <w:ind w:left="0" w:firstLine="0"/>
      </w:pPr>
      <w:rPr>
        <w:rFonts w:hint="eastAsia"/>
        <w:spacing w:val="100"/>
      </w:rPr>
    </w:lvl>
    <w:lvl w:ilvl="1" w:tentative="0">
      <w:start w:val="1"/>
      <w:numFmt w:val="decimal"/>
      <w:pStyle w:val="17"/>
      <w:suff w:val="nothing"/>
      <w:lvlText w:val="%1.%2　"/>
      <w:lvlJc w:val="left"/>
      <w:pPr>
        <w:ind w:left="0" w:firstLine="0"/>
      </w:pPr>
      <w:rPr>
        <w:rFonts w:hint="eastAsia" w:ascii="黑体" w:eastAsia="黑体"/>
        <w:b w:val="0"/>
        <w:i w:val="0"/>
        <w:sz w:val="21"/>
      </w:rPr>
    </w:lvl>
    <w:lvl w:ilvl="2" w:tentative="0">
      <w:start w:val="1"/>
      <w:numFmt w:val="decimal"/>
      <w:pStyle w:val="18"/>
      <w:suff w:val="nothing"/>
      <w:lvlText w:val="%1.%2.%3　"/>
      <w:lvlJc w:val="left"/>
      <w:pPr>
        <w:ind w:left="0" w:firstLine="0"/>
      </w:pPr>
      <w:rPr>
        <w:rFonts w:hint="eastAsia" w:ascii="黑体" w:eastAsia="黑体"/>
        <w:b w:val="0"/>
        <w:i w:val="0"/>
        <w:sz w:val="21"/>
      </w:rPr>
    </w:lvl>
    <w:lvl w:ilvl="3" w:tentative="0">
      <w:start w:val="1"/>
      <w:numFmt w:val="decimal"/>
      <w:pStyle w:val="19"/>
      <w:suff w:val="nothing"/>
      <w:lvlText w:val="%1.%2.%3.%4　"/>
      <w:lvlJc w:val="left"/>
      <w:pPr>
        <w:ind w:left="0" w:firstLine="0"/>
      </w:pPr>
      <w:rPr>
        <w:rFonts w:hint="eastAsia" w:ascii="黑体" w:eastAsia="黑体"/>
        <w:b w:val="0"/>
        <w:i w:val="0"/>
        <w:sz w:val="21"/>
      </w:rPr>
    </w:lvl>
    <w:lvl w:ilvl="4" w:tentative="0">
      <w:start w:val="1"/>
      <w:numFmt w:val="decimal"/>
      <w:pStyle w:val="20"/>
      <w:suff w:val="nothing"/>
      <w:lvlText w:val="%1.%2.%3.%4.%5　"/>
      <w:lvlJc w:val="left"/>
      <w:pPr>
        <w:ind w:left="0" w:firstLine="0"/>
      </w:pPr>
      <w:rPr>
        <w:rFonts w:hint="eastAsia" w:ascii="黑体" w:eastAsia="黑体"/>
        <w:b w:val="0"/>
        <w:i w:val="0"/>
        <w:sz w:val="21"/>
      </w:rPr>
    </w:lvl>
    <w:lvl w:ilvl="5" w:tentative="0">
      <w:start w:val="1"/>
      <w:numFmt w:val="decimal"/>
      <w:pStyle w:val="22"/>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DBF04F4"/>
    <w:multiLevelType w:val="multilevel"/>
    <w:tmpl w:val="6DBF04F4"/>
    <w:lvl w:ilvl="0" w:tentative="0">
      <w:start w:val="1"/>
      <w:numFmt w:val="none"/>
      <w:pStyle w:val="2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5"/>
  </w:num>
  <w:num w:numId="2">
    <w:abstractNumId w:val="3"/>
  </w:num>
  <w:num w:numId="3">
    <w:abstractNumId w:val="2"/>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3M2Y5NzIzMDFlZjAyY2Q4Njk5ODkyYjFjNzBiNTQifQ=="/>
  </w:docVars>
  <w:rsids>
    <w:rsidRoot w:val="00D75905"/>
    <w:rsid w:val="005F44B9"/>
    <w:rsid w:val="008B47BA"/>
    <w:rsid w:val="00A94845"/>
    <w:rsid w:val="00C410D5"/>
    <w:rsid w:val="00D75905"/>
    <w:rsid w:val="074D717F"/>
    <w:rsid w:val="1846511D"/>
    <w:rsid w:val="20571CDD"/>
    <w:rsid w:val="22136096"/>
    <w:rsid w:val="3095556F"/>
    <w:rsid w:val="36407E5B"/>
    <w:rsid w:val="3D461658"/>
    <w:rsid w:val="3D59542A"/>
    <w:rsid w:val="43EE3C4F"/>
    <w:rsid w:val="482112D4"/>
    <w:rsid w:val="4AED2E08"/>
    <w:rsid w:val="4BA65999"/>
    <w:rsid w:val="4CEC08D3"/>
    <w:rsid w:val="553E518E"/>
    <w:rsid w:val="58670CF0"/>
    <w:rsid w:val="72D60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autoRedefine/>
    <w:qFormat/>
    <w:uiPriority w:val="0"/>
    <w:pPr>
      <w:ind w:firstLine="420"/>
    </w:pPr>
  </w:style>
  <w:style w:type="paragraph" w:styleId="3">
    <w:name w:val="Balloon Text"/>
    <w:basedOn w:val="1"/>
    <w:link w:val="38"/>
    <w:autoRedefine/>
    <w:semiHidden/>
    <w:unhideWhenUsed/>
    <w:qFormat/>
    <w:uiPriority w:val="99"/>
    <w:pPr>
      <w:spacing w:line="240" w:lineRule="auto"/>
    </w:pPr>
    <w:rPr>
      <w:sz w:val="18"/>
      <w:szCs w:val="18"/>
    </w:rPr>
  </w:style>
  <w:style w:type="paragraph" w:styleId="4">
    <w:name w:val="footer"/>
    <w:basedOn w:val="1"/>
    <w:link w:val="37"/>
    <w:unhideWhenUsed/>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36"/>
    <w:autoRedefine/>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autoRedefine/>
    <w:qFormat/>
    <w:uiPriority w:val="22"/>
    <w:rPr>
      <w:b/>
    </w:rPr>
  </w:style>
  <w:style w:type="paragraph" w:customStyle="1" w:styleId="10">
    <w:name w:val="标准文件_页脚偶数页"/>
    <w:autoRedefine/>
    <w:qFormat/>
    <w:uiPriority w:val="0"/>
    <w:pPr>
      <w:ind w:left="227"/>
    </w:pPr>
    <w:rPr>
      <w:rFonts w:ascii="宋体" w:hAnsi="Times New Roman" w:eastAsia="宋体" w:cs="Times New Roman"/>
      <w:kern w:val="0"/>
      <w:sz w:val="18"/>
      <w:szCs w:val="20"/>
      <w:lang w:val="en-US" w:eastAsia="zh-CN" w:bidi="ar-SA"/>
    </w:rPr>
  </w:style>
  <w:style w:type="paragraph" w:customStyle="1" w:styleId="11">
    <w:name w:val="标准文件_页脚奇数页"/>
    <w:autoRedefine/>
    <w:qFormat/>
    <w:uiPriority w:val="0"/>
    <w:pPr>
      <w:ind w:right="227"/>
      <w:jc w:val="right"/>
    </w:pPr>
    <w:rPr>
      <w:rFonts w:ascii="宋体" w:hAnsi="Times New Roman" w:eastAsia="宋体" w:cs="Times New Roman"/>
      <w:kern w:val="0"/>
      <w:sz w:val="18"/>
      <w:szCs w:val="20"/>
      <w:lang w:val="en-US" w:eastAsia="zh-CN" w:bidi="ar-SA"/>
    </w:rPr>
  </w:style>
  <w:style w:type="paragraph" w:customStyle="1" w:styleId="12">
    <w:name w:val="标准文件_段"/>
    <w:link w:val="25"/>
    <w:autoRedefine/>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13">
    <w:name w:val="标准文件_页眉奇数页"/>
    <w:next w:val="1"/>
    <w:qFormat/>
    <w:uiPriority w:val="0"/>
    <w:pPr>
      <w:tabs>
        <w:tab w:val="center" w:pos="4154"/>
        <w:tab w:val="right" w:pos="8306"/>
      </w:tabs>
      <w:spacing w:after="120"/>
      <w:jc w:val="right"/>
    </w:pPr>
    <w:rPr>
      <w:rFonts w:ascii="黑体" w:hAnsi="宋体" w:eastAsia="黑体" w:cs="Times New Roman"/>
      <w:kern w:val="0"/>
      <w:sz w:val="21"/>
      <w:szCs w:val="20"/>
      <w:lang w:val="en-US" w:eastAsia="zh-CN" w:bidi="ar-SA"/>
    </w:rPr>
  </w:style>
  <w:style w:type="paragraph" w:customStyle="1" w:styleId="14">
    <w:name w:val="标准文件_页眉偶数页"/>
    <w:basedOn w:val="13"/>
    <w:next w:val="1"/>
    <w:qFormat/>
    <w:uiPriority w:val="0"/>
    <w:pPr>
      <w:jc w:val="left"/>
    </w:pPr>
  </w:style>
  <w:style w:type="paragraph" w:customStyle="1" w:styleId="15">
    <w:name w:val="标准文件_附录标识"/>
    <w:next w:val="12"/>
    <w:autoRedefine/>
    <w:qFormat/>
    <w:uiPriority w:val="0"/>
    <w:pPr>
      <w:numPr>
        <w:ilvl w:val="0"/>
        <w:numId w:val="1"/>
      </w:numPr>
      <w:shd w:val="clear" w:color="FFFFFF" w:fill="FFFFFF"/>
      <w:tabs>
        <w:tab w:val="left" w:pos="6406"/>
      </w:tabs>
      <w:spacing w:before="25" w:beforeLines="25" w:after="50" w:afterLines="50"/>
      <w:jc w:val="center"/>
      <w:outlineLvl w:val="0"/>
    </w:pPr>
    <w:rPr>
      <w:rFonts w:ascii="黑体" w:hAnsi="Times New Roman" w:eastAsia="黑体" w:cs="Times New Roman"/>
      <w:kern w:val="0"/>
      <w:sz w:val="21"/>
      <w:szCs w:val="20"/>
      <w:lang w:val="en-US" w:eastAsia="zh-CN" w:bidi="ar-SA"/>
    </w:rPr>
  </w:style>
  <w:style w:type="paragraph" w:customStyle="1" w:styleId="16">
    <w:name w:val="标准文件_附录表标题"/>
    <w:next w:val="12"/>
    <w:autoRedefine/>
    <w:qFormat/>
    <w:uiPriority w:val="0"/>
    <w:pPr>
      <w:numPr>
        <w:ilvl w:val="1"/>
        <w:numId w:val="2"/>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szCs w:val="20"/>
      <w:lang w:val="en-US" w:eastAsia="zh-CN" w:bidi="ar-SA"/>
    </w:rPr>
  </w:style>
  <w:style w:type="paragraph" w:customStyle="1" w:styleId="17">
    <w:name w:val="标准文件_附录一级条标题"/>
    <w:next w:val="12"/>
    <w:autoRedefine/>
    <w:qFormat/>
    <w:uiPriority w:val="0"/>
    <w:pPr>
      <w:widowControl w:val="0"/>
      <w:numPr>
        <w:ilvl w:val="1"/>
        <w:numId w:val="1"/>
      </w:numPr>
      <w:spacing w:before="50" w:beforeLines="50" w:after="50" w:afterLines="50"/>
      <w:jc w:val="both"/>
      <w:outlineLvl w:val="2"/>
    </w:pPr>
    <w:rPr>
      <w:rFonts w:ascii="黑体" w:hAnsi="Times New Roman" w:eastAsia="黑体" w:cs="Times New Roman"/>
      <w:kern w:val="21"/>
      <w:sz w:val="21"/>
      <w:szCs w:val="20"/>
      <w:lang w:val="en-US" w:eastAsia="zh-CN" w:bidi="ar-SA"/>
    </w:rPr>
  </w:style>
  <w:style w:type="paragraph" w:customStyle="1" w:styleId="18">
    <w:name w:val="标准文件_附录二级条标题"/>
    <w:basedOn w:val="17"/>
    <w:next w:val="12"/>
    <w:autoRedefine/>
    <w:qFormat/>
    <w:uiPriority w:val="0"/>
    <w:pPr>
      <w:widowControl/>
      <w:numPr>
        <w:ilvl w:val="2"/>
      </w:numPr>
      <w:wordWrap w:val="0"/>
      <w:overflowPunct w:val="0"/>
      <w:autoSpaceDE w:val="0"/>
      <w:autoSpaceDN w:val="0"/>
      <w:textAlignment w:val="baseline"/>
      <w:outlineLvl w:val="3"/>
    </w:pPr>
  </w:style>
  <w:style w:type="paragraph" w:customStyle="1" w:styleId="19">
    <w:name w:val="标准文件_附录三级条标题"/>
    <w:next w:val="12"/>
    <w:autoRedefine/>
    <w:qFormat/>
    <w:uiPriority w:val="0"/>
    <w:pPr>
      <w:widowControl w:val="0"/>
      <w:numPr>
        <w:ilvl w:val="3"/>
        <w:numId w:val="1"/>
      </w:numPr>
      <w:spacing w:before="50" w:beforeLines="50" w:after="50" w:afterLines="50"/>
      <w:jc w:val="both"/>
      <w:outlineLvl w:val="4"/>
    </w:pPr>
    <w:rPr>
      <w:rFonts w:ascii="黑体" w:hAnsi="Times New Roman" w:eastAsia="黑体" w:cs="Times New Roman"/>
      <w:kern w:val="21"/>
      <w:sz w:val="21"/>
      <w:szCs w:val="20"/>
      <w:lang w:val="en-US" w:eastAsia="zh-CN" w:bidi="ar-SA"/>
    </w:rPr>
  </w:style>
  <w:style w:type="paragraph" w:customStyle="1" w:styleId="20">
    <w:name w:val="标准文件_附录四级条标题"/>
    <w:next w:val="12"/>
    <w:autoRedefine/>
    <w:qFormat/>
    <w:uiPriority w:val="0"/>
    <w:pPr>
      <w:widowControl w:val="0"/>
      <w:numPr>
        <w:ilvl w:val="4"/>
        <w:numId w:val="1"/>
      </w:numPr>
      <w:spacing w:before="50" w:beforeLines="50" w:after="50" w:afterLines="50"/>
      <w:jc w:val="both"/>
      <w:outlineLvl w:val="5"/>
    </w:pPr>
    <w:rPr>
      <w:rFonts w:ascii="黑体" w:hAnsi="Times New Roman" w:eastAsia="黑体" w:cs="Times New Roman"/>
      <w:kern w:val="21"/>
      <w:sz w:val="21"/>
      <w:szCs w:val="20"/>
      <w:lang w:val="en-US" w:eastAsia="zh-CN" w:bidi="ar-SA"/>
    </w:rPr>
  </w:style>
  <w:style w:type="paragraph" w:customStyle="1" w:styleId="21">
    <w:name w:val="标准文件_附录图标题"/>
    <w:next w:val="12"/>
    <w:autoRedefine/>
    <w:qFormat/>
    <w:uiPriority w:val="0"/>
    <w:pPr>
      <w:numPr>
        <w:ilvl w:val="1"/>
        <w:numId w:val="3"/>
      </w:numPr>
      <w:adjustRightInd w:val="0"/>
      <w:snapToGrid w:val="0"/>
      <w:spacing w:before="50" w:beforeLines="50" w:after="50" w:afterLines="50"/>
      <w:ind w:firstLine="420"/>
      <w:jc w:val="center"/>
    </w:pPr>
    <w:rPr>
      <w:rFonts w:ascii="黑体" w:hAnsi="Times New Roman" w:eastAsia="黑体" w:cs="Times New Roman"/>
      <w:kern w:val="0"/>
      <w:sz w:val="21"/>
      <w:szCs w:val="20"/>
      <w:lang w:val="en-US" w:eastAsia="zh-CN" w:bidi="ar-SA"/>
    </w:rPr>
  </w:style>
  <w:style w:type="paragraph" w:customStyle="1" w:styleId="22">
    <w:name w:val="标准文件_附录五级条标题"/>
    <w:next w:val="12"/>
    <w:autoRedefine/>
    <w:qFormat/>
    <w:uiPriority w:val="0"/>
    <w:pPr>
      <w:widowControl w:val="0"/>
      <w:numPr>
        <w:ilvl w:val="5"/>
        <w:numId w:val="1"/>
      </w:numPr>
      <w:spacing w:before="50" w:beforeLines="50" w:after="50" w:afterLines="50"/>
      <w:jc w:val="both"/>
      <w:outlineLvl w:val="6"/>
    </w:pPr>
    <w:rPr>
      <w:rFonts w:ascii="黑体" w:hAnsi="Times New Roman" w:eastAsia="黑体" w:cs="Times New Roman"/>
      <w:kern w:val="21"/>
      <w:sz w:val="21"/>
      <w:szCs w:val="20"/>
      <w:lang w:val="en-US" w:eastAsia="zh-CN" w:bidi="ar-SA"/>
    </w:rPr>
  </w:style>
  <w:style w:type="paragraph" w:customStyle="1" w:styleId="23">
    <w:name w:val="标准文件_注："/>
    <w:next w:val="12"/>
    <w:autoRedefine/>
    <w:qFormat/>
    <w:uiPriority w:val="0"/>
    <w:pPr>
      <w:widowControl w:val="0"/>
      <w:numPr>
        <w:ilvl w:val="0"/>
        <w:numId w:val="4"/>
      </w:numPr>
      <w:autoSpaceDE w:val="0"/>
      <w:autoSpaceDN w:val="0"/>
      <w:jc w:val="both"/>
    </w:pPr>
    <w:rPr>
      <w:rFonts w:ascii="宋体" w:hAnsi="Times New Roman" w:eastAsia="宋体" w:cs="Times New Roman"/>
      <w:kern w:val="0"/>
      <w:sz w:val="18"/>
      <w:szCs w:val="18"/>
      <w:lang w:val="en-US" w:eastAsia="zh-CN" w:bidi="ar-SA"/>
    </w:rPr>
  </w:style>
  <w:style w:type="paragraph" w:customStyle="1" w:styleId="24">
    <w:name w:val="标准文件_注×："/>
    <w:autoRedefine/>
    <w:qFormat/>
    <w:uiPriority w:val="0"/>
    <w:pPr>
      <w:widowControl w:val="0"/>
      <w:numPr>
        <w:ilvl w:val="0"/>
        <w:numId w:val="5"/>
      </w:numPr>
      <w:autoSpaceDE w:val="0"/>
      <w:autoSpaceDN w:val="0"/>
      <w:jc w:val="both"/>
    </w:pPr>
    <w:rPr>
      <w:rFonts w:ascii="宋体" w:hAnsi="Times New Roman" w:eastAsia="宋体" w:cs="Times New Roman"/>
      <w:kern w:val="0"/>
      <w:sz w:val="18"/>
      <w:szCs w:val="18"/>
      <w:lang w:val="en-US" w:eastAsia="zh-CN" w:bidi="ar-SA"/>
    </w:rPr>
  </w:style>
  <w:style w:type="character" w:customStyle="1" w:styleId="25">
    <w:name w:val="标准文件_段 Char"/>
    <w:link w:val="12"/>
    <w:autoRedefine/>
    <w:qFormat/>
    <w:uiPriority w:val="0"/>
    <w:rPr>
      <w:rFonts w:ascii="宋体" w:hAnsi="Times New Roman" w:eastAsia="宋体" w:cs="Times New Roman"/>
      <w:kern w:val="0"/>
      <w:szCs w:val="20"/>
    </w:rPr>
  </w:style>
  <w:style w:type="paragraph" w:customStyle="1" w:styleId="26">
    <w:name w:val="标准文件_附录图标号"/>
    <w:basedOn w:val="12"/>
    <w:next w:val="12"/>
    <w:autoRedefine/>
    <w:qFormat/>
    <w:uiPriority w:val="0"/>
    <w:pPr>
      <w:numPr>
        <w:ilvl w:val="0"/>
        <w:numId w:val="3"/>
      </w:numPr>
      <w:tabs>
        <w:tab w:val="left" w:pos="360"/>
      </w:tabs>
      <w:spacing w:line="14" w:lineRule="exact"/>
      <w:ind w:left="0" w:firstLine="0" w:firstLineChars="0"/>
      <w:jc w:val="center"/>
    </w:pPr>
    <w:rPr>
      <w:rFonts w:ascii="黑体" w:hAnsi="黑体" w:eastAsia="黑体"/>
      <w:vanish/>
      <w:sz w:val="2"/>
      <w:szCs w:val="21"/>
    </w:rPr>
  </w:style>
  <w:style w:type="paragraph" w:customStyle="1" w:styleId="27">
    <w:name w:val="标准文件_附录表标号"/>
    <w:basedOn w:val="12"/>
    <w:next w:val="12"/>
    <w:autoRedefine/>
    <w:qFormat/>
    <w:uiPriority w:val="0"/>
    <w:pPr>
      <w:numPr>
        <w:ilvl w:val="0"/>
        <w:numId w:val="2"/>
      </w:numPr>
      <w:tabs>
        <w:tab w:val="left" w:pos="360"/>
      </w:tabs>
      <w:spacing w:line="14" w:lineRule="exact"/>
      <w:ind w:left="0" w:firstLine="0" w:firstLineChars="0"/>
      <w:jc w:val="center"/>
    </w:pPr>
    <w:rPr>
      <w:rFonts w:eastAsia="黑体"/>
      <w:vanish/>
      <w:sz w:val="2"/>
    </w:rPr>
  </w:style>
  <w:style w:type="paragraph" w:customStyle="1" w:styleId="28">
    <w:name w:val="段"/>
    <w:link w:val="29"/>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29">
    <w:name w:val="段 Char"/>
    <w:basedOn w:val="8"/>
    <w:link w:val="28"/>
    <w:autoRedefine/>
    <w:qFormat/>
    <w:uiPriority w:val="0"/>
    <w:rPr>
      <w:rFonts w:ascii="宋体" w:hAnsi="Times New Roman" w:eastAsia="宋体" w:cs="Times New Roman"/>
      <w:kern w:val="0"/>
      <w:szCs w:val="20"/>
    </w:rPr>
  </w:style>
  <w:style w:type="paragraph" w:customStyle="1" w:styleId="30">
    <w:name w:val="附录图标号"/>
    <w:basedOn w:val="1"/>
    <w:autoRedefine/>
    <w:qFormat/>
    <w:uiPriority w:val="0"/>
    <w:pPr>
      <w:keepNext/>
      <w:pageBreakBefore/>
      <w:widowControl/>
      <w:numPr>
        <w:ilvl w:val="0"/>
        <w:numId w:val="6"/>
      </w:numPr>
      <w:adjustRightInd/>
      <w:spacing w:line="14" w:lineRule="exact"/>
      <w:ind w:left="0" w:firstLine="363"/>
      <w:jc w:val="center"/>
      <w:outlineLvl w:val="0"/>
    </w:pPr>
    <w:rPr>
      <w:rFonts w:ascii="Times New Roman" w:hAnsi="Times New Roman"/>
      <w:color w:val="FFFFFF"/>
      <w:szCs w:val="24"/>
    </w:rPr>
  </w:style>
  <w:style w:type="paragraph" w:customStyle="1" w:styleId="31">
    <w:name w:val="附录图标题"/>
    <w:basedOn w:val="1"/>
    <w:next w:val="28"/>
    <w:autoRedefine/>
    <w:qFormat/>
    <w:uiPriority w:val="0"/>
    <w:pPr>
      <w:numPr>
        <w:ilvl w:val="1"/>
        <w:numId w:val="6"/>
      </w:numPr>
      <w:tabs>
        <w:tab w:val="left" w:pos="363"/>
      </w:tabs>
      <w:adjustRightInd/>
      <w:spacing w:beforeLines="50" w:afterLines="50" w:line="240" w:lineRule="auto"/>
      <w:ind w:left="0" w:firstLine="0"/>
      <w:jc w:val="center"/>
    </w:pPr>
    <w:rPr>
      <w:rFonts w:ascii="黑体" w:hAnsi="Times New Roman" w:eastAsia="黑体"/>
    </w:rPr>
  </w:style>
  <w:style w:type="paragraph" w:customStyle="1" w:styleId="32">
    <w:name w:val="附录公式"/>
    <w:basedOn w:val="28"/>
    <w:next w:val="28"/>
    <w:link w:val="33"/>
    <w:autoRedefine/>
    <w:qFormat/>
    <w:uiPriority w:val="0"/>
  </w:style>
  <w:style w:type="character" w:customStyle="1" w:styleId="33">
    <w:name w:val="附录公式 Char"/>
    <w:basedOn w:val="29"/>
    <w:link w:val="32"/>
    <w:autoRedefine/>
    <w:qFormat/>
    <w:uiPriority w:val="0"/>
    <w:rPr>
      <w:rFonts w:ascii="宋体" w:hAnsi="Times New Roman" w:eastAsia="宋体" w:cs="Times New Roman"/>
      <w:kern w:val="0"/>
      <w:szCs w:val="20"/>
    </w:rPr>
  </w:style>
  <w:style w:type="paragraph" w:customStyle="1" w:styleId="34">
    <w:name w:val="附录表标号"/>
    <w:basedOn w:val="1"/>
    <w:next w:val="28"/>
    <w:autoRedefine/>
    <w:qFormat/>
    <w:uiPriority w:val="0"/>
    <w:pPr>
      <w:numPr>
        <w:ilvl w:val="0"/>
        <w:numId w:val="7"/>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35">
    <w:name w:val="附录表标题"/>
    <w:basedOn w:val="1"/>
    <w:next w:val="28"/>
    <w:autoRedefine/>
    <w:qFormat/>
    <w:uiPriority w:val="0"/>
    <w:pPr>
      <w:numPr>
        <w:ilvl w:val="1"/>
        <w:numId w:val="7"/>
      </w:numPr>
      <w:tabs>
        <w:tab w:val="left" w:pos="180"/>
      </w:tabs>
      <w:adjustRightInd/>
      <w:spacing w:beforeLines="50" w:afterLines="50" w:line="240" w:lineRule="auto"/>
      <w:ind w:left="0" w:firstLine="0"/>
      <w:jc w:val="center"/>
    </w:pPr>
    <w:rPr>
      <w:rFonts w:ascii="黑体" w:hAnsi="Times New Roman" w:eastAsia="黑体"/>
    </w:rPr>
  </w:style>
  <w:style w:type="character" w:customStyle="1" w:styleId="36">
    <w:name w:val="页眉 Char"/>
    <w:basedOn w:val="8"/>
    <w:link w:val="5"/>
    <w:autoRedefine/>
    <w:qFormat/>
    <w:uiPriority w:val="99"/>
    <w:rPr>
      <w:rFonts w:ascii="Calibri" w:hAnsi="Calibri" w:eastAsia="宋体" w:cs="Times New Roman"/>
      <w:sz w:val="18"/>
      <w:szCs w:val="18"/>
    </w:rPr>
  </w:style>
  <w:style w:type="character" w:customStyle="1" w:styleId="37">
    <w:name w:val="页脚 Char"/>
    <w:basedOn w:val="8"/>
    <w:link w:val="4"/>
    <w:autoRedefine/>
    <w:qFormat/>
    <w:uiPriority w:val="99"/>
    <w:rPr>
      <w:rFonts w:ascii="Calibri" w:hAnsi="Calibri" w:eastAsia="宋体" w:cs="Times New Roman"/>
      <w:sz w:val="18"/>
      <w:szCs w:val="18"/>
    </w:rPr>
  </w:style>
  <w:style w:type="character" w:customStyle="1" w:styleId="38">
    <w:name w:val="批注框文本 Char"/>
    <w:basedOn w:val="8"/>
    <w:link w:val="3"/>
    <w:autoRedefine/>
    <w:semiHidden/>
    <w:qFormat/>
    <w:uiPriority w:val="99"/>
    <w:rPr>
      <w:rFonts w:ascii="Calibri" w:hAnsi="Calibri" w:eastAsia="宋体" w:cs="Times New Roman"/>
      <w:sz w:val="18"/>
      <w:szCs w:val="18"/>
    </w:rPr>
  </w:style>
  <w:style w:type="paragraph" w:customStyle="1" w:styleId="39">
    <w:name w:val="正文2"/>
    <w:qFormat/>
    <w:uiPriority w:val="0"/>
    <w:pPr>
      <w:spacing w:line="360" w:lineRule="auto"/>
    </w:pPr>
    <w:rPr>
      <w:rFonts w:ascii="Times New Roman" w:hAnsi="Times New Roman" w:eastAsia="宋体"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5003</Words>
  <Characters>5212</Characters>
  <Lines>33</Lines>
  <Paragraphs>9</Paragraphs>
  <TotalTime>27</TotalTime>
  <ScaleCrop>false</ScaleCrop>
  <LinksUpToDate>false</LinksUpToDate>
  <CharactersWithSpaces>5221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2021-02-18T08:41:00Z</dcterms:created>
  <dc:creator>郑玉艳</dc:creator>
  <cp:lastModifiedBy>同理心</cp:lastModifiedBy>
  <cp:lastPrinted>2024-11-06T08:35:00Z</cp:lastPrinted>
  <dcterms:modified xsi:type="dcterms:W3CDTF">2024-11-12T00:41:16Z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95D928D614364C00A79ED42BFFA56AC0</vt:lpwstr>
  </property>
</Properties>
</file>